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卡瑞利珠单抗实体瘤I期研究.pdf.txt</w:t>
      </w:r>
    </w:p>
    <w:p>
      <w:pPr>
        <w:pStyle w:val="Heading1"/>
      </w:pPr>
      <w:r>
        <w:t>研究患者</w:t>
      </w:r>
    </w:p>
    <w:p>
      <w:r>
        <w:t xml:space="preserve">
&gt;&gt;&gt;&gt;&gt;&gt;&gt;&gt;&gt;&gt;&gt;&gt;&gt;&gt;&gt;&gt;&gt;&gt;&gt;&gt;&gt;&gt;&gt;&gt;</w:t>
        <w:br/>
        <w:t>Antitumour activity analyses Independent radiologic evaluation by CT or MRI was done at baseline and every 8 weeks during the ﬁrst 6 months, and every 12 weeks thereafter. Overall response rate (ORR) was summarised as the proportion of response-evaluable patients who had a best response of complete response (CR) or partial response (PR), based on RECIST, version 1.</w:t>
        <w:br/>
        <w:t>&gt;&gt;&gt;&gt;&gt;&gt;&gt;&gt;&gt;&gt;&gt;&gt;&gt;&gt;&gt;&gt;&gt;&gt;&gt;&gt;&gt;&gt;&gt;&gt;
&gt;&gt;&gt;&gt;&gt;&gt;&gt;&gt;&gt;&gt;&gt;&gt;&gt;&gt;&gt;&gt;&gt;&gt;&gt;&gt;&gt;&gt;&gt;&gt;</w:t>
        <w:br/>
        <w:t>BACKGROUND: To assess the safety proﬁle, pharmacokinetics, pharmacodynamics and preliminary antitumour activity of ﬁxed- dose SHR-1210, a novel anti-PD-1 antibody, in advanced solid tumours. METHODS: A total of 36 patients with advanced solid tumours received intravenous SHR-1210 at 60 mg, 200 mg and 400 mg (4- week interval after ﬁrst dose followed by a 2-week schedule) until disease progression or intolerable toxicity.</w:t>
        <w:br/>
        <w:t xml:space="preserve">
&gt;&gt;&gt;&gt;&gt;&gt;&gt;&gt;&gt;&gt;&gt;&gt;&gt;&gt;&gt;&gt;&gt;&gt;&gt;&gt;&gt;&gt;&gt;&gt;</w:t>
      </w:r>
    </w:p>
    <w:p>
      <w:pPr>
        <w:pStyle w:val="Heading1"/>
      </w:pPr>
      <w:r>
        <w:t>样本量</w:t>
      </w:r>
    </w:p>
    <w:p>
      <w:r>
        <w:t>BACKGROUND: To assess the safety proﬁle, pharmacokinetics, pharmacodynamics and preliminary antitumour activity of ﬁxed- dose SHR-1210, a novel anti-PD-1 antibody, in advanced solid tumours. METHODS: A total of 36 patients with advanced solid tumours received intravenous SHR-1210 at 60 mg, 200 mg and 400 mg (4- week interval after ﬁrst dose followed by a 2-week schedule) until disease progression or intolerable toxicity.</w:t>
      </w:r>
    </w:p>
    <w:p>
      <w:pPr>
        <w:pStyle w:val="Heading1"/>
      </w:pPr>
      <w:r>
        <w:t>基线特征</w:t>
      </w:r>
    </w:p>
    <w:p>
      <w:r>
        <w:t>Table 1. Baseline characteristics</w:t>
      </w:r>
    </w:p>
    <w:p>
      <w:pPr>
        <w:pStyle w:val="Heading1"/>
      </w:pPr>
      <w:r>
        <w:t>试验设计</w:t>
      </w:r>
    </w:p>
    <w:p>
      <w:r>
        <w:t>DISCUSSION To the best of our knowledge, this is the ﬁrst study reporting the antitumour activity, safety and PK of SHR-1210, a novel anti-PD-1 antibody at a ﬁxed dose in heavily-treated patients with advanced solid tumours, indicating the clinical potential of SHR-1210 due to its promising antitumour activity and a manageable toxicity proﬁle. The inhibition of PD-1 displays a wide spectrum of clinical antitumour activity among multiple tumours.4 The data of this phase I clinical trial demonstrated that 25% of the patients treated with all doses of SHR-1210 had durable objectives responses.</w:t>
      </w:r>
    </w:p>
    <w:p>
      <w:pPr>
        <w:pStyle w:val="Heading1"/>
      </w:pPr>
      <w:r>
        <w:t>研究背景</w:t>
      </w:r>
    </w:p>
    <w:p>
      <w:r>
        <w:t>Hongnan Mo1, Jing Huang1, Jiachen Xu1, Xuelian Chen1, Dawei Wu1, Dong Qu2, Xi Wang1, Bo Lan1, Xingyuan Wang1, Jianping Xu1, Honggang Zhang1, Yihebali Chi1, Qing Yang3 and Binghe Xu1</w:t>
        <w:br/>
        <w:t>BACKGROUND: To assess the safety proﬁle, pharmacokinetics, pharmacodynamics and preliminary antitumour activity of ﬁxed- dose SHR-1210, a novel anti-PD-1 antibody, in advanced solid tumours. METHODS: A total of 36 patients with advanced solid tumours received intravenous SHR-1210 at 60 mg, 200 mg and 400 mg (4- week interval after ﬁrst dose followed by a 2-week schedule) until disease progression or intolerable toxicity.</w:t>
      </w:r>
    </w:p>
    <w:p>
      <w:pPr>
        <w:pStyle w:val="Heading1"/>
      </w:pPr>
      <w:r>
        <w:t>研究结果</w:t>
      </w:r>
    </w:p>
    <w:p>
      <w:r>
        <w:t xml:space="preserve"> RESULTS: No dose-limiting toxicities were observed. Maximum administered dose was not reached.</w:t>
      </w:r>
    </w:p>
    <w:p>
      <w:pPr>
        <w:pStyle w:val="Heading1"/>
      </w:pPr>
      <w:r>
        <w:t>研究结论</w:t>
      </w:r>
    </w:p>
    <w:p>
      <w:r>
        <w:t>CONCLUSIONS: Our results demonstrated a promising antitumour activity and a manageable safety proﬁle of SHR-1210, displayed an explicit PK evidence of the feasibility of ﬁxed dose, and established the foundation for further exploration.</w:t>
      </w:r>
    </w:p>
    <w:p>
      <w:pPr>
        <w:pStyle w:val="Heading1"/>
      </w:pPr>
      <w:r>
        <w:t>表格相关</w:t>
      </w:r>
    </w:p>
    <w:p>
      <w:r>
        <w:t>RESULTS Study patients A total of 36 patients with advanced solid tumours, including oesophageal squamous cell carcinoma (ESCC), gastric cancer, triple-negative breast cancer (TNBC), colorectal cancer, non-small- cell lung cancer (NSCLC), nasopharyngeal cancer (NPC), hepato- cellular cancer, bladder cancer and cervical cancer, were included between April 26, 2016 and December6, 2016 (Table 1)</w:t>
      </w:r>
    </w:p>
    <w:p>
      <w:r>
        <w:t>&gt;&gt;&gt;&gt;&gt;&gt;&gt;&gt;&gt;&gt;&gt;&gt;&gt;&gt;&gt;&gt;&gt;&gt;</w:t>
      </w:r>
    </w:p>
    <w:p>
      <w:r>
        <w:t>Safety and tolerability The MTD was not reached, and no DLT (including delayed DLT) was observed in three dose groups. At the date of analysis, 35 patients (97.2%) had experienced at least one AE, and 32 (88.9%) of them were treatment-related AE (TRAE) (Table 2)</w:t>
      </w:r>
    </w:p>
    <w:p>
      <w:r>
        <w:t>&gt;&gt;&gt;&gt;&gt;&gt;&gt;&gt;&gt;&gt;&gt;&gt;&gt;&gt;&gt;&gt;&gt;&gt;</w:t>
      </w:r>
    </w:p>
    <w:p>
      <w:r>
        <w:t>Pharmacokinetics and pharmacodynamics The serum concentration-time proﬁles of SHR-1210 after a single- intravenous infusion at the dose of 60, 200 and 400 mg are described in Fig. 2. The calculated PK parameters are summarised in Table 3. The mean half-life (t1/2) of SHR-1210 increased in a dose- dependent manner from 60 to 400 mg, ranging from 2.94 to 11.0 days; similarly, Cmax and AUC were also directly dose- dependent. After repeated doses, the accumulation ratio of SHR- 1210 at Cmin from C1D1 to C5D1 was 2.54–3.07 at steady state (1st infusion in Cycle 5); whereas, the accumulation index at the end of infusion (Ceoinf) ranged from 1.08 to 1.53 (Table 4)</w:t>
      </w:r>
    </w:p>
    <w:p>
      <w:r>
        <w:t>&gt;&gt;&gt;&gt;&gt;&gt;&gt;&gt;&gt;&gt;&gt;&gt;&gt;&gt;&gt;&gt;&gt;&gt;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