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CheckMate 017.pdf.txt</w:t>
      </w:r>
    </w:p>
    <w:p>
      <w:pPr>
        <w:pStyle w:val="Heading1"/>
      </w:pPr>
      <w:r>
        <w:t>研究患者</w:t>
      </w:r>
    </w:p>
    <w:p>
      <w:r>
        <w:t>Patients with stage IIIB or IV squamous-cell NSCLC who had disease recurrence after one  prior platinum-containing regimen were eligible for participation in the study.</w:t>
      </w:r>
    </w:p>
    <w:p>
      <w:pPr>
        <w:pStyle w:val="Heading1"/>
      </w:pPr>
      <w:r>
        <w:t>样本量</w:t>
      </w:r>
    </w:p>
    <w:p>
      <w:r>
        <w:t>Methods— We randomly assigned 272 patients to receive nivolumab, at a dose of 3 mg per  kilogram of body weight every 2 weeks, or docetaxel, at a dose of 75 mg per square meter of  body-surface area every 3 weeks.</w:t>
      </w:r>
    </w:p>
    <w:p>
      <w:pPr>
        <w:pStyle w:val="Heading1"/>
      </w:pPr>
      <w:r>
        <w:t>基线特征</w:t>
      </w:r>
    </w:p>
    <w:p>
      <w:r>
        <w:t>The median age of the patients was 63 years. Most patients were men, had an ECOG  performance-status score of 1, had stage IV cancer, and were current or former smokers  (Table 1, and Table S1 in the Supplementary Appendix). All the patients had received  platinum-based therapy previously; 34% had received paclitaxel previously. The  demographic and clinical characteristics of the patients were generally well balanced  between the groups, with slight between-group imbalances in the percentages of female  patients, patients 75 years of age or older, and patients with an ECOG performance-status  score of 1.</w:t>
      </w:r>
    </w:p>
    <w:p>
      <w:pPr>
        <w:pStyle w:val="Heading1"/>
      </w:pPr>
      <w:r>
        <w:t>试验设计</w:t>
      </w:r>
    </w:p>
    <w:p>
      <w:r>
        <w:t>1. Travis WD. Pathology of lung cancer. Clin Chest Med. 2011; 32:669–92. [PubMed: 22054879]  2. Fossella FV, DeVore R, Kerr RN, et al. Randomized phase III trial of docetaxel versus vinorelbine  or ifosfamide in patients with advanced non-small-cell lung cancer previously treated with  platinum-containing chemotherapy regimens: the TAX 320 Non-Small Cell Lung Cancer Study  Group.</w:t>
      </w:r>
    </w:p>
    <w:p>
      <w:pPr>
        <w:pStyle w:val="Heading1"/>
      </w:pPr>
      <w:r>
        <w:t>研究背景</w:t>
      </w:r>
    </w:p>
    <w:p>
      <w:r>
        <w:t>Abstract</w:t>
        <w:br/>
        <w:t>Background— Patients with advanced squamous-cell non–small-cell lung cancer (NSCLC) who  have disease progression during or after first-line chemotherapy have limited treatment options.  This randomized, open-label, international, phase 3 study evaluated the efficacy and safety of  nivolumab, a fully human IgG4 programmed death 1 (PD-1) immune-checkpoint–inhibitor  antibody, as compared with docetaxel in this patient population.</w:t>
      </w:r>
    </w:p>
    <w:p>
      <w:pPr>
        <w:pStyle w:val="Heading1"/>
      </w:pPr>
      <w:r>
        <w:t>研究结果</w:t>
      </w:r>
    </w:p>
    <w:p>
      <w:r>
        <w:br/>
        <w:t>Results— The median overall survival was 9.2 months (95% confidence interval [CI], 7.3 to  13.3) with nivolumab versus 6.0 months (95% CI, 5.1 to 7.3) with docetaxel.</w:t>
      </w:r>
    </w:p>
    <w:p>
      <w:pPr>
        <w:pStyle w:val="Heading1"/>
      </w:pPr>
      <w:r>
        <w:t>研究结论</w:t>
      </w:r>
    </w:p>
    <w:p>
      <w:r>
        <w:t>Conclusions— Among patients with advanced, previously treated squamous-cell NSCLC,  overall survival, response rate, and progression-free survival were significantly better with  nivolumab than with docetaxel, regardless of PD-L1 expression level.</w:t>
      </w:r>
    </w:p>
    <w:p>
      <w:pPr>
        <w:pStyle w:val="Heading1"/>
      </w:pPr>
      <w:r>
        <w:t>表格相关</w:t>
      </w:r>
    </w:p>
    <w:p>
      <w:r>
        <w:t>The median age of the patients was 63 years. Most patients were men, had an ECOG  performance-status score of 1, had stage IV cancer, and were current or former smokers  (Table 1, and Table S1 in the Supplementary Appendix)</w:t>
      </w:r>
    </w:p>
    <w:p>
      <w:r>
        <w:t>&gt;&gt;&gt;&gt;&gt;&gt;&gt;&gt;&gt;&gt;&gt;&gt;&gt;&gt;&gt;&gt;&gt;&gt;</w:t>
      </w:r>
    </w:p>
    <w:p>
      <w:r>
        <w:t>At the time of the database lock, 16% of the patients in the nivolumab group and 2% of  those in the docetaxel group were continuing treatment (Table S2 in the Supplementary  Appendix)</w:t>
      </w:r>
    </w:p>
    <w:p>
      <w:r>
        <w:t>&gt;&gt;&gt;&gt;&gt;&gt;&gt;&gt;&gt;&gt;&gt;&gt;&gt;&gt;&gt;&gt;&gt;&gt;</w:t>
      </w:r>
    </w:p>
    <w:p>
      <w:r>
        <w:t>label nature of the study; 2% of the patients in the docetaxel group received subsequent  immunotherapy (Table S3 in the Supplementary Appendix)</w:t>
      </w:r>
    </w:p>
    <w:p>
      <w:r>
        <w:t>&gt;&gt;&gt;&gt;&gt;&gt;&gt;&gt;&gt;&gt;&gt;&gt;&gt;&gt;&gt;&gt;&gt;&gt;</w:t>
      </w:r>
    </w:p>
    <w:p>
      <w:r>
        <w:t>The rate of confirmed objective response was significantly higher with nivolumab than with  docetaxel (20% [95% CI, 14 to 28] vs. 9% [95% CI, 5 to 15]; P = 0.008) (Table 2, and Fig.  S3 in the Supplementary Appendix)</w:t>
      </w:r>
    </w:p>
    <w:p>
      <w:r>
        <w:t>&gt;&gt;&gt;&gt;&gt;&gt;&gt;&gt;&gt;&gt;&gt;&gt;&gt;&gt;&gt;&gt;&gt;&gt;</w:t>
      </w:r>
    </w:p>
    <w:p>
      <w:r>
        <w:t>A total of 83% of the patients who underwent randomization (225 of 272 patients) had  quantifiable PD-L1 expression. Rates of PD-L1 positivity were balanced between the two  treatment groups (Table S5 in the Supplementary Appendix)</w:t>
      </w:r>
    </w:p>
    <w:p>
      <w:r>
        <w:t>&gt;&gt;&gt;&gt;&gt;&gt;&gt;&gt;&gt;&gt;&gt;&gt;&gt;&gt;&gt;&gt;&gt;&gt;</w:t>
      </w:r>
    </w:p>
    <w:p>
      <w:r>
        <w:t>. Across the prespecified  expression levels (1%, 5%, and 10%), PD-L1 expression was neither prognostic nor  predictive of any of the efficacy end points (Fig. 2C, and Table S6 in the Supplementary  Appendix)</w:t>
      </w:r>
    </w:p>
    <w:p>
      <w:r>
        <w:t>&gt;&gt;&gt;&gt;&gt;&gt;&gt;&gt;&gt;&gt;&gt;&gt;&gt;&gt;&gt;&gt;&gt;&gt;</w:t>
      </w:r>
    </w:p>
    <w:p>
      <w:r>
        <w:t>than in the docetaxel group (Table S5 in the Supplementary Appendix)</w:t>
      </w:r>
    </w:p>
    <w:p>
      <w:r>
        <w:t>&gt;&gt;&gt;&gt;&gt;&gt;&gt;&gt;&gt;&gt;&gt;&gt;&gt;&gt;&gt;&gt;&gt;&gt;</w:t>
      </w:r>
    </w:p>
    <w:p>
      <w:r>
        <w:t>Treatment-related adverse events, including both hematologic and nonhematologic toxic  events, occurred less frequently with nivolumab than with docetaxel. In the nivolumab  group, 58% of the patients had events of any grade, 7% had events of grade 3 or 4, and none  had grade 5 events; in the docetaxel group, 86% of the patients had events of any grade,  55% had events of grade 3 or 4, and 2% had events of grade 5 (Table 3, and Table S7 in the  Supplementary Appendix)</w:t>
      </w:r>
    </w:p>
    <w:p>
      <w:r>
        <w:t>&gt;&gt;&gt;&gt;&gt;&gt;&gt;&gt;&gt;&gt;&gt;&gt;&gt;&gt;&gt;&gt;&gt;&gt;</w:t>
      </w:r>
    </w:p>
    <w:p>
      <w:r>
        <w:t>Treatment-related serious adverse events occurred less frequently with nivolumab than with  docetaxel. In the nivolumab group, 7% of the patients had serious events of any grade, 2%  had serious events of grade 3 or 4, and none had grade 5 serious events; in the docetaxel  group, 24% of patients had serious events of any grade, 19% had serious events of grade 3  or 4, and 2% had serious events of grade 5 (Table S8 in the Supplementary Appendix)</w:t>
      </w:r>
    </w:p>
    <w:p>
      <w:r>
        <w:t>&gt;&gt;&gt;&gt;&gt;&gt;&gt;&gt;&gt;&gt;&gt;&gt;&gt;&gt;&gt;&gt;&gt;&gt;</w:t>
      </w:r>
    </w:p>
    <w:p>
      <w:r>
        <w:t>The most frequently reported (in ≥3% of patients) treatment-related select adverse events of  any grade were hypothyroidism (4% with nivolumab vs. 0% with docetaxel), diarrhea (8%  vs. 20%), pneumonitis (5% vs. 0%), increased blood creatinine level (3% vs. 2%), and rash  (4% vs. 6%) (Table S9 in the Supplementary Appendix)</w:t>
      </w:r>
    </w:p>
    <w:p>
      <w:r>
        <w:t>&gt;&gt;&gt;&gt;&gt;&gt;&gt;&gt;&gt;&gt;&gt;&gt;&gt;&gt;&gt;&gt;&gt;&gt;</w:t>
      </w:r>
    </w:p>
    <w:p>
      <w:r>
        <w:t>. Three treatment-related select  adverse events of grade 3 were reported in the nivolumab group, with one case each of  tubulointerstitial nephritis, colitis, and pneumonitis; no grade 4 events were reported. The  median times to the onset of treatment-related select adverse events in the nivolumab group  ranged from 0.3 to 17.6 weeks across categories (Table S10 in the Supplementary  Appendix)</w:t>
      </w:r>
    </w:p>
    <w:p>
      <w:r>
        <w:t>&gt;&gt;&gt;&gt;&gt;&gt;&gt;&gt;&gt;&gt;&gt;&gt;&gt;&gt;&gt;&gt;&gt;&gt;</w:t>
      </w:r>
    </w:p>
    <w:p>
      <w:r>
        <w:t>Immune-modulating medications, most often systemic glucocorticoids, were administered  for the management of a percentage (18 to 83%) of treatment-related adverse events in each  category. Topical preparations were also used for the management of skin-related events.  The median times to resolution of treatment-related select adverse events ranged from 0.3 to  5.0 weeks in the nivolumab group (Table S10 in the Supplementary Appendix)</w:t>
      </w:r>
    </w:p>
    <w:p>
      <w:r>
        <w:t>&gt;&gt;&gt;&gt;&gt;&gt;&gt;&gt;&gt;&gt;&gt;&gt;&gt;&gt;&gt;&gt;&gt;&gt;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