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KEYNOTE-024.pdf.txt</w:t>
      </w:r>
    </w:p>
    <w:p>
      <w:pPr>
        <w:pStyle w:val="Heading1"/>
      </w:pPr>
      <w:r>
        <w:t>研究患者</w:t>
      </w:r>
    </w:p>
    <w:p>
      <w:r>
        <w:t xml:space="preserve">
&gt;&gt;&gt;&gt;&gt;&gt;&gt;&gt;&gt;&gt;&gt;&gt;&gt;&gt;&gt;&gt;&gt;&gt;&gt;&gt;&gt;&gt;&gt;&gt;</w:t>
        <w:br/>
        <w:t>In this open-label, phase 3 trial, we randomly assigned 305 patients who had previously  untreated advanced NSCLC with PD-L1 expression on at least 50% of tumor cells and no  sensit izing mutat ion of the epidermal growth factor receptor gene or translocat ion of  the anaplast ic lymphoma kinase gene to receive either pembrolizumab (at a f ixed dose  of 200 mg every 3 weeks) or the investigator’s choice of platinum-based chemotherapy.</w:t>
        <w:br/>
        <w:t>&gt;&gt;&gt;&gt;&gt;&gt;&gt;&gt;&gt;&gt;&gt;&gt;&gt;&gt;&gt;&gt;&gt;&gt;&gt;&gt;&gt;&gt;&gt;&gt;
&gt;&gt;&gt;&gt;&gt;&gt;&gt;&gt;&gt;&gt;&gt;&gt;&gt;&gt;&gt;&gt;&gt;&gt;&gt;&gt;&gt;&gt;&gt;&gt;</w:t>
        <w:br/>
        <w:t>In patients with advanced NSCLC and PD-L1 expression on at least 50% of tumor cells,  pembrolizumab was associated with signif icantly longer progression-free and overall  survival and with fewer adverse events than was platinum-based chemotherapy.</w:t>
        <w:br/>
        <w:t xml:space="preserve">
&gt;&gt;&gt;&gt;&gt;&gt;&gt;&gt;&gt;&gt;&gt;&gt;&gt;&gt;&gt;&gt;&gt;&gt;&gt;&gt;&gt;&gt;&gt;&gt;</w:t>
      </w:r>
    </w:p>
    <w:p>
      <w:pPr>
        <w:pStyle w:val="Heading1"/>
      </w:pPr>
      <w:r>
        <w:t>样本量</w:t>
      </w:r>
    </w:p>
    <w:p>
      <w:r>
        <w:t>In this open-label, phase 3 trial, we randomly assigned 305 patients who had previously  untreated advanced NSCLC with PD-L1 expression on at least 50% of tumor cells and no  sensit izing mutat ion of the epidermal growth factor receptor gene or translocat ion of  the anaplast ic lymphoma kinase gene to receive either pembrolizumab (at a f ixed dose  of 200 mg every 3 weeks) or the investigator’s choice of platinum-based chemotherapy.</w:t>
      </w:r>
    </w:p>
    <w:p>
      <w:pPr>
        <w:pStyle w:val="Heading1"/>
      </w:pPr>
      <w:r>
        <w:t>基线特征</w:t>
      </w:r>
    </w:p>
    <w:p>
      <w:r>
        <w:t>Table 1. Baseline Demographic and Disease Characteristics of Patients in the Intention-to-Treat Population.</w:t>
      </w:r>
    </w:p>
    <w:p>
      <w:pPr>
        <w:pStyle w:val="Heading1"/>
      </w:pPr>
      <w:r>
        <w:t>试验设计</w:t>
      </w:r>
    </w:p>
    <w:p>
      <w:r>
        <w:t>Pembrolizumab in pat ients with advanced  t r iple-negat ive breast cancer: phase Ib  KEYNOTE-012 study.</w:t>
      </w:r>
    </w:p>
    <w:p>
      <w:pPr>
        <w:pStyle w:val="Heading1"/>
      </w:pPr>
      <w:r>
        <w:t>研究背景</w:t>
      </w:r>
    </w:p>
    <w:p>
      <w:r>
        <w:t>No Match</w:t>
      </w:r>
    </w:p>
    <w:p>
      <w:pPr>
        <w:pStyle w:val="Heading1"/>
      </w:pPr>
      <w:r>
        <w:t>研究结果</w:t>
      </w:r>
    </w:p>
    <w:p>
      <w:r>
        <w:br/>
        <w:t>RESULTS</w:t>
        <w:br/>
        <w:t>Median progression-free survival was 10.3 months (95% conf idence interval [CI], 6.7 to  not reached) in the pembrolizumab group versus 6.0 months (95% CI, 4.2 to 6.2) in the  chemotherapy group (hazard ratio for disease progression or death, 0.50; 95% CI, 0.37 to  0.68; P&lt;0.001).</w:t>
      </w:r>
    </w:p>
    <w:p>
      <w:pPr>
        <w:pStyle w:val="Heading1"/>
      </w:pPr>
      <w:r>
        <w:t>研究结论</w:t>
      </w:r>
    </w:p>
    <w:p>
      <w:r>
        <w:t>CONCLUSIONS</w:t>
        <w:br/>
        <w:t>In patients with advanced NSCLC and PD-L1 expression on at least 50% of tumor cells,  pembrolizumab was associated with signif icantly longer progression-free and overall  survival and with fewer adverse events than was platinum-based chemotherapy.</w:t>
      </w:r>
    </w:p>
    <w:p>
      <w:pPr>
        <w:pStyle w:val="Heading1"/>
      </w:pPr>
      <w:r>
        <w:t>表格相关</w:t>
      </w:r>
    </w:p>
    <w:p>
      <w:r>
        <w:t>Pat ients were randomly assigned, in a 1:1 rat io,  to receive treatment with either pembrolizumab  (administered intravenously at a dose of 200 mg  ever y 3 weeks) for 35 cycles or the invest igator’s  choice of one of the following f ive plat inum- based chemotherapy regimens for 4 to 6 cycles:  carboplatin plus pemetrexed, cisplatin plus peme- t rexed, carboplat in plus gemcitabine, cisplat in  plus gemcitabine, or carboplat in plus paclitaxel  (Table S1 in the Supplementar y Appendix, avail- able with the full text of this article at NEJM.org)</w:t>
      </w:r>
    </w:p>
    <w:p>
      <w:r>
        <w:t>&gt;&gt;&gt;&gt;&gt;&gt;&gt;&gt;&gt;&gt;&gt;&gt;&gt;&gt;&gt;&gt;&gt;&gt;</w:t>
      </w:r>
    </w:p>
    <w:p>
      <w:r>
        <w:t>.  Chemotherapy regimens that included peme- trexed were permitted only for pat ients who had  nonsquamous tumors; these pat ients could con- tinue to receive pemetrexed as maintenance ther- apy after the complet ion of combinat ion chemo- therapy. The intended chemotherapy regimen,  including the use of pemet rexed ma intenance  therapy, was chosen before the pat ient under- went randomizat ion. Randomizat ion was strat i- f ied by ECOG performance-status score (0 vs. 1),  tumor histologic t ype (squamous vs. nonsqua- mous), and region of enrollment (East Asia vs.  non–East Asia) and did not include any provisions  regarding equal distribution of enrollment across  part icipat ing sites or strat if icat ion by site. Treat- ment was cont inued for the specif ied number of  cycles or unt il the pat ient had radiologic disease  progression (def ined according to RECIST; Table  S2 in the Supplementar y Appendix)</w:t>
      </w:r>
    </w:p>
    <w:p>
      <w:r>
        <w:t>&gt;&gt;&gt;&gt;&gt;&gt;&gt;&gt;&gt;&gt;&gt;&gt;&gt;&gt;&gt;&gt;&gt;&gt;</w:t>
      </w:r>
    </w:p>
    <w:p>
      <w:r>
        <w:t>A total of 1934 pat ients at 142 sites in 16 coun- t ries were screened for enrollment, including  1729 who submitted samples for PD-L1 assess- ment (Fig. S1 in the Supplementar y Appendix).  Of the 1653 pat ients whose samples could be  evaluated for PD-L1, 500 (30.2%) had a PD-L1  tumor proport ion score of 50% or greater. Be- tween September 19, 2014, and October 29, 2015,  a total of 305 pat ients at 102 sites who met inclu- sion criteria were randomly assigned to either  the pembrolizumab group (154 pat ients) or the  chemotherapy group (151 patients). In the chemo- therapy group, the most common regimen was  carboplat in plus pemetrexed (in 67 pat ients). All  the pat ients in the pembrolizumab group re- ceived the trial treatment. In the chemotherapy  group, 1 pat ient withdrew consent before receiv- ing the planned trial treatment, and 46 pat ients  received pemetrexed maintenance therapy after  complet ion of combinat ion chemotherapy. The  demographic characterist ics of the pat ients and  the disease characterist ics at baseline were gen- erally well balanced between treatment groups  (Table 1)</w:t>
      </w:r>
    </w:p>
    <w:p>
      <w:r>
        <w:t>&gt;&gt;&gt;&gt;&gt;&gt;&gt;&gt;&gt;&gt;&gt;&gt;&gt;&gt;&gt;&gt;&gt;&gt;</w:t>
      </w:r>
    </w:p>
    <w:p>
      <w:r>
        <w:t>The object ive response rate, assessed according  to RECIST, was 44.8% (95% CI, 36.8 to 53.0) in  the pembrolizumab group and 27.8% (95% CI,  20.8 to 35.7) in the chemotherapy group (Table 2)</w:t>
      </w:r>
    </w:p>
    <w:p>
      <w:r>
        <w:t>&gt;&gt;&gt;&gt;&gt;&gt;&gt;&gt;&gt;&gt;&gt;&gt;&gt;&gt;&gt;&gt;&gt;&gt;</w:t>
      </w:r>
    </w:p>
    <w:p>
      <w:r>
        <w:t>During t reatment with the init ia lly assigned  therapy, treatment-related adverse events occurred  in 73.4% of the pat ients in the pembrolizumab  group and in 90.0% of the pat ients in the che- motherapy group (Table 3)</w:t>
      </w:r>
    </w:p>
    <w:p>
      <w:r>
        <w:t>&gt;&gt;&gt;&gt;&gt;&gt;&gt;&gt;&gt;&gt;&gt;&gt;&gt;&gt;&gt;&gt;&gt;&gt;</w:t>
      </w:r>
    </w:p>
    <w:p>
      <w:r>
        <w:t>(21.4% and 20.7%, respect ively). Discont inuat ion  of treatment because of treatment-related adverse  events occurred in 7.1% of pat ients in the pem- brolizumab group and in 10.7% of patients in the  chemotherapy group. Treatment-related adverse  events that led to death occurred in one pat ient  in the pembrolizumab group (sudden death of  unknown cause on day 2) and three pat ients in  the chemotherapy group (one death due to pul- monar y sepsis on day 25, one death due to  pulmonar y alveolar hemorrhage on day 112, and  one death of unknown cause on day 8). The most common treatment-related adverse  events were diarrhea (in 14.3% of the pat ients),  fat igue (10.4%), and pyrexia (10.4%) in the pem- brolizumab group and anemia (44.0%), nausea  (43.3%), and fatigue (28.7%) in the chemotherapy  group (Table 3)</w:t>
      </w:r>
    </w:p>
    <w:p>
      <w:r>
        <w:t>&gt;&gt;&gt;&gt;&gt;&gt;&gt;&gt;&gt;&gt;&gt;&gt;&gt;&gt;&gt;&gt;&gt;&gt;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