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Lorlatinib is a potent, brain-penetrant, third-generation ALK/ROS1 TKI.We performed an analysis of CNS and non-CNS pro-gression in patients with pretreated ALK+ NSCLC.Our results indicate that lorlatinib is active in the treat-ment and prevention of CNS metastases in patients with ALK+ NSCLC, including those who had progressed on crizotinib or second-generation TKIs.</w:t>
      </w:r>
    </w:p>
    <w:p>
      <w:pPr>
        <w:pStyle w:val="Heading1"/>
      </w:pPr>
      <w:r>
        <w:t>研究患者</w:t>
      </w:r>
    </w:p>
    <w:p>
      <w:r>
        <w:t>The full methodology for this ongoing, open-label, single- arm, multicenter phase II tr ial has been published [18].  Eligible patients were aged ≥ 18  years and had histologi- cally or cytologically confirmed metastatic NSCLC with  either ALK or ROS1 rear rangement.</w:t>
      </w:r>
    </w:p>
    <w:p>
      <w:pPr>
        <w:pStyle w:val="Heading1"/>
      </w:pPr>
      <w:r>
        <w:t>样本量</w:t>
      </w:r>
    </w:p>
    <w:p>
      <w:r>
        <w:t>Background Lorlatinib is a potent, third-generation ALK/ROS1 tyrosine kinase inhibitor (TKI) designed to penetrate the  blood–brain barrier. Objective We report the cumulative incidence of central nervous system (CNS) and non-CNS progression with lorlatinib in  patients with ALK-positive non-small-cell lung cancer (NSCLC) previously treated with ALK TKIs. Patients and methods In an ongoing phase II study (NCT01970865), 198 patients with ALK-positive NSCLC with ≥ 1 prior  ALK TKI were enrolled into expansion cohor ts (EXP) based on treatment history.</w:t>
      </w:r>
    </w:p>
    <w:p>
      <w:pPr>
        <w:pStyle w:val="Heading1"/>
      </w:pPr>
      <w:r>
        <w:t>基线特征</w:t>
      </w:r>
    </w:p>
    <w:p>
      <w:r>
        <w:t>Table 1  Baseline characteristics</w:t>
      </w:r>
    </w:p>
    <w:p>
      <w:pPr>
        <w:pStyle w:val="Heading1"/>
      </w:pPr>
      <w:r>
        <w:t>试验设计</w:t>
      </w:r>
    </w:p>
    <w:p>
      <w:r>
        <w:t>Background Lorlatinib is a potent, third-generation ALK/ROS1 tyrosine kinase inhibitor (TKI) designed to penetrate the  blood–brain barrier. Objective We report the cumulative incidence of central nervous system (CNS) and non-CNS progression with lorlatinib in  patients with ALK-positive non-small-cell lung cancer (NSCLC) previously treated with ALK TKIs. Patients and methods In an ongoing phase II study (NCT01970865), 198 patients with ALK-positive NSCLC with ≥ 1 prior  ALK TKI were enrolled into expansion cohor ts (EXP) based on treatment history.</w:t>
      </w:r>
    </w:p>
    <w:p>
      <w:pPr>
        <w:pStyle w:val="Heading1"/>
      </w:pPr>
      <w:r>
        <w:t>研究背景</w:t>
      </w:r>
    </w:p>
    <w:p>
      <w:r>
        <w:t>Background Lorlatinib is a potent, third-generation ALK/ROS1 tyrosine kinase inhibitor (TKI) designed to penetrate the  blood–brain barrier. Objective We report the cumulative incidence of central nervous system (CNS) and non-CNS progression with lorlatinib in  patients with ALK-positive non-small-cell lung cancer (NSCLC) previously treated with ALK TKIs.</w:t>
      </w:r>
    </w:p>
    <w:p>
      <w:pPr>
        <w:pStyle w:val="Heading1"/>
      </w:pPr>
      <w:r>
        <w:t>研究结果</w:t>
      </w:r>
    </w:p>
    <w:p>
      <w:r>
        <w:t xml:space="preserve"> Results Fifty-nine patients received crizotinib as their only prior ALK TKI (EXP2–3A); cumulative incidence rates (CIRs)  of CNS and non-CNS progression were both 22% at 12 months in patients with baseline CNS metastases (n = 37), and CIR  of non-CNS progression at 12 months was higher versus that for CNS progression in patients without baseline CNS metas- tases [43% vs. 9% (n = 22)].</w:t>
      </w:r>
    </w:p>
    <w:p>
      <w:pPr>
        <w:pStyle w:val="Heading1"/>
      </w:pPr>
      <w:r>
        <w:t>研究结论</w:t>
      </w:r>
    </w:p>
    <w:p>
      <w:r>
        <w:t>Conclusions Lorlatinib showed substantial intracranial activity in patients with pretreated ALK-positive NSCLC, with or  without baseline CNS metastases, whose disease progressed on crizotinib or second-generation ALK TKIs.</w:t>
      </w:r>
    </w:p>
    <w:p>
      <w:pPr>
        <w:pStyle w:val="Heading1"/>
      </w:pPr>
      <w:r>
        <w:t>表格及图片陈述</w:t>
      </w:r>
    </w:p>
    <w:p>
      <w:r>
        <w:t>&gt;&gt;&gt;&gt;&gt;&gt;&gt;&gt;&gt;&gt;&gt;&gt;&gt;&gt;&gt;&gt;&gt;&gt;</w:t>
      </w:r>
    </w:p>
    <w:p>
      <w:r>
        <w:t>Patients were enrolled between 15 September 2015, and 3  October 2016. Baseline character istics of the overall phase  II popu la t ion (EXP1–6) have been prev ious ly repor ted  [18]. In this analysis, we repor t data from the 198 patients  w i th ALK-pos i t ive NSCLC who had rece ived ≥ 1 ALK  TKI and received ≥ 1 dose of lorlatinib (EXP2–5). Of these  pa t ien ts , 59 rece ived cr izot in ib as the ir on ly pr ior ALK  TKI (EXP2–3A) and 139 received ≥ 1 pr ior second-gen- eration ALK TKI (EXP3B–5). Baseline CNS metastases  (measurable/non-measurable) were present in 37 patients  (62.7%) from EXP2–3A and in 94 patients (67.6%) from  EXP3B–5. Baseline character istics of the subgroups ana- lyzed are shown in Table 1 and were generally comparable.  There were more Asian patients (51.1%)</w:t>
      </w:r>
    </w:p>
    <w:p>
      <w:r>
        <w:t>&gt;&gt;&gt;&gt;&gt;&gt;&gt;&gt;&gt;&gt;&gt;&gt;&gt;&gt;&gt;&gt;&gt;&gt;</w:t>
      </w:r>
    </w:p>
    <w:p>
      <w:r>
        <w:t>Figure  1 shows the cumulative incidences for CNS pro- gression, non-CNS progression, and death with lorlatinib  in patients who had received pr ior cr izotinib as their only  ALK TKI (EXP2–3A). In patients with baseline CNS metas- tases (n = 37), the cumulative incidence rates (CIRs) of CNS  and non-CNS progression were 16% and 11% at 6 months,  respectively, and 22% and 22% at 12 months, respectively  (Fig. 1a; Table 2)</w:t>
      </w:r>
    </w:p>
    <w:p>
      <w:r>
        <w:t>&gt;&gt;&gt;&gt;&gt;&gt;&gt;&gt;&gt;&gt;&gt;&gt;&gt;&gt;&gt;&gt;&gt;&gt;</w:t>
      </w:r>
    </w:p>
    <w:p>
      <w:r>
        <w:t>. In patients without baseline CNS metas- tases (n = 22), the CIR of non-CNS progression was higher  versus that for CNS progression at both 6 months (24% vs.  9%) and 12 months (43% vs. 9%; Fig. 1b and Table 2)</w:t>
      </w:r>
    </w:p>
    <w:p>
      <w:r>
        <w:t>&gt;&gt;&gt;&gt;&gt;&gt;&gt;&gt;&gt;&gt;&gt;&gt;&gt;&gt;&gt;&gt;&gt;&gt;</w:t>
      </w:r>
    </w:p>
    <w:p>
      <w:r>
        <w:t>ve rsus tha t fo r CNS p rog ress ion a t 6   mon ths (25% vs .  14%) and at 12 months (35% vs. 23%; Fig.  2a; Table 2)</w:t>
      </w:r>
    </w:p>
    <w:p>
      <w:r>
        <w:t>&gt;&gt;&gt;&gt;&gt;&gt;&gt;&gt;&gt;&gt;&gt;&gt;&gt;&gt;&gt;&gt;&gt;&gt;</w:t>
      </w:r>
    </w:p>
    <w:p>
      <w:r>
        <w:t>.  Patients without baseline CNS metastases (n = 45) also had  a higher CIR of non-CNS progression versus that for CNS  progression, with CIRs of 37% versus 12% at 6 months and  55% versus 12% at 12 months (Fig. 2b; Table 2)</w:t>
      </w:r>
    </w:p>
    <w:p>
      <w:r>
        <w:t>&gt;&gt;&gt;&gt;&gt;&gt;&gt;&gt;&gt;&gt;&gt;&gt;&gt;&gt;&gt;&gt;&gt;&gt;</w:t>
      </w:r>
    </w:p>
    <w:p>
      <w:r>
        <w:t>metastases at 6 months (27% vs . 15% and 38% vs . 11% ,  respectively) and at 12 months (37% vs. 23% and 53% vs.  11%, respectively; Supplementary Table A.1)</w:t>
      </w:r>
    </w:p>
    <w:p>
      <w:r>
        <w:t>&gt;&gt;&gt;&gt;&gt;&gt;&gt;&gt;&gt;&gt;&gt;&gt;&gt;&gt;&gt;&gt;&gt;&gt;</w:t>
      </w:r>
    </w:p>
    <w:p>
      <w:r>
        <w:t>Baseline measurable CNS metastases were present in 24  (64.9%) out of 37 patients in EXP2–3A and 57 (60.6%)  out of 94 patients in EXP3B–5. In EXP2–3A, intracranial  responses were observed in 21 (87.5%, 95% CI 67.6–97.3)  of 24 patients (Table 3)</w:t>
      </w:r>
    </w:p>
    <w:p>
      <w:r>
        <w:t>&gt;&gt;&gt;&gt;&gt;&gt;&gt;&gt;&gt;&gt;&gt;&gt;&gt;&gt;&gt;&gt;&gt;&gt;</w:t>
      </w:r>
    </w:p>
    <w:p>
      <w:r>
        <w:t>In EXP2–3A, intracranial responses in ir radiated brain  lesions with progression at baseline were observed in four  (50.0%; 95% CI 15.7–84.3) of eight patients and median  duration of intracranial response was not reached (95% CI  2.8–not estimable; Fig. 4a; Supplementary Table A.2)</w:t>
      </w:r>
    </w:p>
    <w:p>
      <w:r>
        <w:t>&gt;&gt;&gt;&gt;&gt;&gt;&gt;&gt;&gt;&gt;&gt;&gt;&gt;&gt;&gt;&gt;&gt;&gt;</w:t>
      </w:r>
    </w:p>
    <w:p>
      <w:r>
        <w:t>. Of  30 patients in EXP3B–5, 12 (40.0%; 95% CI 22.7–59.4)  achieved an intracranial response in irradiated brain lesions  with progression at baseline and median duration of intrac- ranial response was 12.4 months (95% CI 11.1–not estima- ble; Fig. 4b; Supplementary Table A.2)</w:t>
      </w:r>
    </w:p>
    <w:p>
      <w:r>
        <w:t>&gt;&gt;&gt;&gt;&gt;&gt;&gt;&gt;&gt;&gt;&gt;&gt;&gt;&gt;&gt;&gt;&gt;&gt;</w:t>
      </w:r>
    </w:p>
    <w:p>
      <w:r>
        <w:t>. Best responses of  stable disease in ir radiated brain lesions with progression  at baseline were observed in three (37.5%) and ten (33.3%)  patients, respectively, with some lasting &gt; 6 months (Fig. 4;  Supplementary Table A.2)</w:t>
      </w:r>
    </w:p>
    <w:p>
      <w:r>
        <w:t>&gt;&gt;&gt;&gt;&gt;&gt;&gt;&gt;&gt;&gt;&gt;&gt;&gt;&gt;&gt;&gt;&gt;&gt;</w:t>
      </w:r>
    </w:p>
    <w:p>
      <w:r>
        <w:t>mo s t common t rea tmen t - re la ted AE s [18] . Trea tmen t - re la ted AEs assoc ia ted w i th the CNS (any g rade ) we re  repor ted in 71 of 131 patients (54.2%) with baseline CNS  metastases and 33 of 67 patients (49.3%) without baseline  CNS metastases (Supplementary Table A.3)</w:t>
      </w:r>
    </w:p>
    <w:p>
      <w:pPr>
        <w:pStyle w:val="Heading1"/>
      </w:pPr>
      <w:r>
        <w:t>表格及图片</w:t>
      </w:r>
    </w:p>
    <w:p>
      <w:pPr>
        <w:pStyle w:val="Heading2"/>
      </w:pPr>
      <w:r>
        <w:t>表格</w:t>
      </w:r>
    </w:p>
    <w:p>
      <w:r>
        <w:drawing>
          <wp:inline xmlns:a="http://schemas.openxmlformats.org/drawingml/2006/main" xmlns:pic="http://schemas.openxmlformats.org/drawingml/2006/picture">
            <wp:extent cx="5486400" cy="72896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96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68095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_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9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64034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_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3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图片</w:t>
      </w:r>
    </w:p>
    <w:p>
      <w:r>
        <w:drawing>
          <wp:inline xmlns:a="http://schemas.openxmlformats.org/drawingml/2006/main" xmlns:pic="http://schemas.openxmlformats.org/drawingml/2006/picture">
            <wp:extent cx="5486400" cy="728960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96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862763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_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27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917627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_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762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93424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_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2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807899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_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899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