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Nivolumab versus Docetaxel in Advanced Squamous-Cell Non–Small-Cell Lung Cancer</w:t>
      </w:r>
    </w:p>
    <w:p>
      <w:pPr>
        <w:pStyle w:val="Heading1"/>
      </w:pPr>
      <w:r>
        <w:t>研究患者</w:t>
      </w:r>
    </w:p>
    <w:p>
      <w:r>
        <w:t>Patients with stage IIIB or IV squamous-cell NSCLC who had disease recurrence after one  prior platinum-containing regimen were eligible for participation in the study.</w:t>
      </w:r>
    </w:p>
    <w:p>
      <w:pPr>
        <w:pStyle w:val="Heading1"/>
      </w:pPr>
      <w:r>
        <w:t>样本量</w:t>
      </w:r>
    </w:p>
    <w:p>
      <w:r>
        <w:t>Methods— We randomly assigned 272 patients to receive nivolumab, at a dose of 3 mg per  kilogram of body weight every 2 weeks, or docetaxel, at a dose of 75 mg per square meter of  body-surface area every 3 weeks.</w:t>
      </w:r>
    </w:p>
    <w:p>
      <w:pPr>
        <w:pStyle w:val="Heading1"/>
      </w:pPr>
      <w:r>
        <w:t>基线特征</w:t>
      </w:r>
    </w:p>
    <w:p>
      <w:r>
        <w:t>The median age of the patients was 63 years. Most patients were men, had an ECOG  performance-status score of 1, had stage IV cancer, and were current or former smokers  (Table 1, and Table S1 in the Supplementary Appendix). All the patients had received  platinum-based therapy previously; 34% had received paclitaxel previously. The  demographic and clinical characteristics of the patients were generally well balanced  between the groups, with slight between-group imbalances in the percentages of female  patients, patients 75 years of age or older, and patients with an ECOG performance-status  score of 1.</w:t>
      </w:r>
    </w:p>
    <w:p>
      <w:pPr>
        <w:pStyle w:val="Heading1"/>
      </w:pPr>
      <w:r>
        <w:t>试验设计</w:t>
      </w:r>
    </w:p>
    <w:p>
      <w:r>
        <w:t>1. Travis WD. Pathology of lung cancer. Clin Chest Med. 2011; 32:669–92. [PubMed: 22054879]  2. Fossella FV, DeVore R, Kerr RN, et al. Randomized phase III trial of docetaxel versus vinorelbine  or ifosfamide in patients with advanced non-small-cell lung cancer previously treated with  platinum-containing chemotherapy regimens: the TAX 320 Non-Small Cell Lung Cancer Study  Group.</w:t>
      </w:r>
    </w:p>
    <w:p>
      <w:pPr>
        <w:pStyle w:val="Heading1"/>
      </w:pPr>
      <w:r>
        <w:t>研究背景</w:t>
      </w:r>
    </w:p>
    <w:p>
      <w:r>
        <w:t>Abstract</w:t>
        <w:br/>
        <w:t>Background— Patients with advanced squamous-cell non–small-cell lung cancer (NSCLC) who  have disease progression during or after first-line chemotherapy have limited treatment options.  This randomized, open-label, international, phase 3 study evaluated the efficacy and safety of  nivolumab, a fully human IgG4 programmed death 1 (PD-1) immune-checkpoint–inhibitor  antibody, as compared with docetaxel in this patient population.</w:t>
      </w:r>
    </w:p>
    <w:p>
      <w:pPr>
        <w:pStyle w:val="Heading1"/>
      </w:pPr>
      <w:r>
        <w:t>研究结果</w:t>
      </w:r>
    </w:p>
    <w:p>
      <w:r>
        <w:br/>
        <w:t>Results— The median overall survival was 9.2 months (95% confidence interval [CI], 7.3 to  13.3) with nivolumab versus 6.0 months (95% CI, 5.1 to 7.3) with docetaxel.</w:t>
      </w:r>
    </w:p>
    <w:p>
      <w:pPr>
        <w:pStyle w:val="Heading1"/>
      </w:pPr>
      <w:r>
        <w:t>研究结论</w:t>
      </w:r>
    </w:p>
    <w:p>
      <w:r>
        <w:t>Conclusions— Among patients with advanced, previously treated squamous-cell NSCLC,  overall survival, response rate, and progression-free survival were significantly better with  nivolumab than with docetaxel, regardless of PD-L1 expression level.</w:t>
      </w:r>
    </w:p>
    <w:p>
      <w:pPr>
        <w:pStyle w:val="Heading1"/>
      </w:pPr>
      <w:r>
        <w:t>表格及图片</w:t>
      </w:r>
    </w:p>
    <w:p>
      <w:pPr>
        <w:pStyle w:val="Heading2"/>
      </w:pPr>
      <w:r>
        <w:t>表格</w:t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The median age of the patients was 63 years. Most patients were men, had an ECOG  performance-status score of 1, had stage IV cancer, and were current or former smokers  (Table 1, and Table S1 in the Supplementary Appendix)</w:t>
      </w:r>
    </w:p>
    <w:p>
      <w:r>
        <w:t>&gt;&gt;&gt;&gt;&gt;&gt;&gt;&gt;&gt;&gt;&gt;&gt;&gt;&gt;&gt;&gt;&gt;&gt;</w:t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At the time of the database lock, 16% of the patients in the nivolumab group and 2% of  those in the docetaxel group were continuing treatment (Table S2 in the Supplementary  Appendix)</w:t>
      </w:r>
    </w:p>
    <w:p>
      <w:r>
        <w:t>&gt;&gt;&gt;&gt;&gt;&gt;&gt;&gt;&gt;&gt;&gt;&gt;&gt;&gt;&gt;&gt;&gt;&gt;</w:t>
      </w:r>
    </w:p>
    <w:p>
      <w:r>
        <w:t>The rate of confirmed objective response was significantly higher with nivolumab than with  docetaxel (20% [95% CI, 14 to 28] vs. 9% [95% CI, 5 to 15]; P = 0.008) (Table 2, and Fig.  S3 in the Supplementary Appendix)</w:t>
      </w:r>
    </w:p>
    <w:p>
      <w:r>
        <w:t>&gt;&gt;&gt;&gt;&gt;&gt;&gt;&gt;&gt;&gt;&gt;&gt;&gt;&gt;&gt;&gt;&gt;&gt;</w:t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label nature of the study; 2% of the patients in the docetaxel group received subsequent  immunotherapy (Table S3 in the Supplementary Appendix)</w:t>
      </w:r>
    </w:p>
    <w:p>
      <w:r>
        <w:t>&gt;&gt;&gt;&gt;&gt;&gt;&gt;&gt;&gt;&gt;&gt;&gt;&gt;&gt;&gt;&gt;&gt;&gt;</w:t>
      </w:r>
    </w:p>
    <w:p>
      <w:r>
        <w:t>Treatment-related adverse events, including both hematologic and nonhematologic toxic  events, occurred less frequently with nivolumab than with docetaxel. In the nivolumab  group, 58% of the patients had events of any grade, 7% had events of grade 3 or 4, and none  had grade 5 events; in the docetaxel group, 86% of the patients had events of any grade,  55% had events of grade 3 or 4, and 2% had events of grade 5 (Table 3, and Table S7 in the  Supplementary Appendix)</w:t>
      </w:r>
    </w:p>
    <w:p>
      <w:r>
        <w:t>&gt;&gt;&gt;&gt;&gt;&gt;&gt;&gt;&gt;&gt;&gt;&gt;&gt;&gt;&gt;&gt;&gt;&gt;</w:t>
      </w:r>
    </w:p>
    <w:p>
      <w:pPr>
        <w:pStyle w:val="Heading2"/>
      </w:pPr>
      <w:r>
        <w:t>图片</w:t>
      </w:r>
    </w:p>
    <w:p>
      <w:r>
        <w:drawing>
          <wp:inline xmlns:a="http://schemas.openxmlformats.org/drawingml/2006/main" xmlns:pic="http://schemas.openxmlformats.org/drawingml/2006/picture">
            <wp:extent cx="5486400" cy="326813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3_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81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876919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4_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9193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