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2C9" w:rsidRPr="00A019DD" w:rsidRDefault="00FB71C7" w:rsidP="00FB71C7">
      <w:pPr>
        <w:pStyle w:val="NoSpacing"/>
      </w:pPr>
      <w:r w:rsidRPr="00A019DD">
        <w:t>Malachite Green Assay</w:t>
      </w:r>
    </w:p>
    <w:p w:rsidR="00FB71C7" w:rsidRDefault="00273883" w:rsidP="00FB71C7">
      <w:pPr>
        <w:pStyle w:val="NoSpacing"/>
      </w:pPr>
      <w:r>
        <w:t xml:space="preserve">Last Updated: </w:t>
      </w:r>
      <w:r w:rsidR="00E47F05">
        <w:t>October 1</w:t>
      </w:r>
      <w:r>
        <w:t xml:space="preserve">, </w:t>
      </w:r>
      <w:r w:rsidR="00FB71C7">
        <w:t>2016</w:t>
      </w:r>
    </w:p>
    <w:p w:rsidR="00FB71C7" w:rsidRDefault="00FB71C7" w:rsidP="00FB71C7">
      <w:pPr>
        <w:pStyle w:val="NoSpacing"/>
      </w:pPr>
      <w:r>
        <w:t>Contact: Sheila Saia (</w:t>
      </w:r>
      <w:hyperlink r:id="rId5" w:history="1">
        <w:r w:rsidRPr="005E4293">
          <w:rPr>
            <w:rStyle w:val="Hyperlink"/>
          </w:rPr>
          <w:t>sms493@cornell.edu</w:t>
        </w:r>
      </w:hyperlink>
      <w:r>
        <w:t>)</w:t>
      </w:r>
    </w:p>
    <w:p w:rsidR="00475BB3" w:rsidRDefault="00475BB3" w:rsidP="00475BB3">
      <w:pPr>
        <w:pStyle w:val="NoSpacing"/>
      </w:pPr>
    </w:p>
    <w:p w:rsidR="00A019DD" w:rsidRPr="00A019DD" w:rsidRDefault="00475BB3" w:rsidP="00475BB3">
      <w:pPr>
        <w:pStyle w:val="NoSpacing"/>
      </w:pPr>
      <w:r>
        <w:t xml:space="preserve">1. </w:t>
      </w:r>
      <w:r w:rsidR="00A019DD" w:rsidRPr="00286349">
        <w:t>Background</w:t>
      </w:r>
      <w:r w:rsidR="00A019DD" w:rsidRPr="00A019DD">
        <w:t>:</w:t>
      </w:r>
    </w:p>
    <w:p w:rsidR="00A019DD" w:rsidRDefault="00563519" w:rsidP="00FB71C7">
      <w:pPr>
        <w:pStyle w:val="NoSpacing"/>
      </w:pPr>
      <w:r>
        <w:t>The malachite green essay is a colormetric assay used</w:t>
      </w:r>
      <w:r w:rsidR="00C6647C">
        <w:t xml:space="preserve"> to detect inorganic phosphate. Phosphate is bound to molybdenum with then complexes with the malachite dye. Advantages of this method are that it only requires two reactants and </w:t>
      </w:r>
      <w:r w:rsidR="006E7F65">
        <w:t>has a low detection limit</w:t>
      </w:r>
      <w:r w:rsidR="00C6647C">
        <w:t>. Disadvantages of th</w:t>
      </w:r>
      <w:r w:rsidR="006E7F65">
        <w:t>is method are that malachite is toxic to humans; it can cause lung and liver related illnesses. Therefore, be sure to wear a mask when you are weighing out the salt.</w:t>
      </w:r>
    </w:p>
    <w:p w:rsidR="00FB71C7" w:rsidRDefault="00FB71C7" w:rsidP="00FB71C7">
      <w:pPr>
        <w:pStyle w:val="NoSpacing"/>
      </w:pPr>
    </w:p>
    <w:p w:rsidR="00FB71C7" w:rsidRPr="00A019DD" w:rsidRDefault="00475BB3" w:rsidP="00475BB3">
      <w:pPr>
        <w:pStyle w:val="NoSpacing"/>
      </w:pPr>
      <w:r>
        <w:t xml:space="preserve">2. </w:t>
      </w:r>
      <w:r w:rsidR="00FB71C7" w:rsidRPr="00A019DD">
        <w:t>Consumables:</w:t>
      </w:r>
    </w:p>
    <w:p w:rsidR="00FB71C7" w:rsidRDefault="00FB71C7" w:rsidP="00FB71C7">
      <w:pPr>
        <w:pStyle w:val="NoSpacing"/>
        <w:numPr>
          <w:ilvl w:val="0"/>
          <w:numId w:val="2"/>
        </w:numPr>
      </w:pPr>
      <w:r>
        <w:t>Concentrated sulfuric acid</w:t>
      </w:r>
    </w:p>
    <w:p w:rsidR="00FB71C7" w:rsidRDefault="00FB71C7" w:rsidP="00FB71C7">
      <w:pPr>
        <w:pStyle w:val="NoSpacing"/>
        <w:numPr>
          <w:ilvl w:val="0"/>
          <w:numId w:val="2"/>
        </w:numPr>
      </w:pPr>
      <w:r>
        <w:t xml:space="preserve">Ammonium </w:t>
      </w:r>
      <w:r w:rsidR="006C03C7">
        <w:t>heptamolybdate (NH</w:t>
      </w:r>
      <w:r w:rsidR="006C03C7" w:rsidRPr="006C03C7">
        <w:rPr>
          <w:vertAlign w:val="subscript"/>
        </w:rPr>
        <w:t>4</w:t>
      </w:r>
      <w:r>
        <w:t>6Mo7O</w:t>
      </w:r>
      <w:r w:rsidRPr="006C03C7">
        <w:rPr>
          <w:vertAlign w:val="subscript"/>
        </w:rPr>
        <w:t>2</w:t>
      </w:r>
      <w:r>
        <w:t>4·4H</w:t>
      </w:r>
      <w:r w:rsidRPr="006C03C7">
        <w:rPr>
          <w:vertAlign w:val="subscript"/>
        </w:rPr>
        <w:t>2</w:t>
      </w:r>
      <w:r>
        <w:t>O)</w:t>
      </w:r>
    </w:p>
    <w:p w:rsidR="006C03C7" w:rsidRDefault="006C03C7" w:rsidP="006C03C7">
      <w:pPr>
        <w:pStyle w:val="NoSpacing"/>
        <w:numPr>
          <w:ilvl w:val="0"/>
          <w:numId w:val="2"/>
        </w:numPr>
      </w:pPr>
      <w:r>
        <w:t>Polyvinyl alcohol (PVA 72000)</w:t>
      </w:r>
    </w:p>
    <w:p w:rsidR="006C03C7" w:rsidRDefault="006C03C7" w:rsidP="006C03C7">
      <w:pPr>
        <w:pStyle w:val="NoSpacing"/>
        <w:numPr>
          <w:ilvl w:val="0"/>
          <w:numId w:val="2"/>
        </w:numPr>
      </w:pPr>
      <w:r>
        <w:t xml:space="preserve">Malachite green </w:t>
      </w:r>
      <w:r w:rsidR="00E47F05">
        <w:t xml:space="preserve">oxalate </w:t>
      </w:r>
      <w:r>
        <w:t>(</w:t>
      </w:r>
      <w:r w:rsidR="00E47F05">
        <w:t>C</w:t>
      </w:r>
      <w:r w:rsidR="00E47F05" w:rsidRPr="00E47F05">
        <w:rPr>
          <w:vertAlign w:val="subscript"/>
        </w:rPr>
        <w:t>25</w:t>
      </w:r>
      <w:r w:rsidR="00E47F05">
        <w:t>H</w:t>
      </w:r>
      <w:r w:rsidR="00E47F05" w:rsidRPr="00E47F05">
        <w:rPr>
          <w:vertAlign w:val="subscript"/>
        </w:rPr>
        <w:t>25</w:t>
      </w:r>
      <w:r w:rsidR="00E47F05">
        <w:t>N</w:t>
      </w:r>
      <w:r w:rsidR="00E47F05" w:rsidRPr="00E47F05">
        <w:rPr>
          <w:vertAlign w:val="subscript"/>
        </w:rPr>
        <w:t>2</w:t>
      </w:r>
      <w:r w:rsidR="00E47F05">
        <w:t>·C</w:t>
      </w:r>
      <w:r w:rsidR="00E47F05" w:rsidRPr="00E47F05">
        <w:rPr>
          <w:vertAlign w:val="subscript"/>
        </w:rPr>
        <w:t>2</w:t>
      </w:r>
      <w:r w:rsidR="00E47F05">
        <w:t>HO</w:t>
      </w:r>
      <w:r w:rsidR="00E47F05" w:rsidRPr="00E47F05">
        <w:rPr>
          <w:vertAlign w:val="subscript"/>
        </w:rPr>
        <w:t>4</w:t>
      </w:r>
      <w:r w:rsidR="00E47F05">
        <w:t>·0.5C</w:t>
      </w:r>
      <w:r w:rsidR="00E47F05" w:rsidRPr="00E47F05">
        <w:rPr>
          <w:vertAlign w:val="subscript"/>
        </w:rPr>
        <w:t>2</w:t>
      </w:r>
      <w:r w:rsidR="00E47F05">
        <w:t>H</w:t>
      </w:r>
      <w:r w:rsidR="00E47F05" w:rsidRPr="00E47F05">
        <w:rPr>
          <w:vertAlign w:val="subscript"/>
        </w:rPr>
        <w:t>2</w:t>
      </w:r>
      <w:r w:rsidR="00E47F05">
        <w:t>O</w:t>
      </w:r>
      <w:r w:rsidR="00E47F05" w:rsidRPr="00E47F05">
        <w:rPr>
          <w:vertAlign w:val="subscript"/>
        </w:rPr>
        <w:t>4</w:t>
      </w:r>
      <w:r w:rsidR="00E47F05" w:rsidRPr="00E47F05">
        <w:t>, MW = 463.50</w:t>
      </w:r>
      <w:r w:rsidRPr="00E47F05">
        <w:t>)</w:t>
      </w:r>
    </w:p>
    <w:p w:rsidR="00BF5CD2" w:rsidRDefault="00BF5CD2" w:rsidP="006C03C7">
      <w:pPr>
        <w:pStyle w:val="NoSpacing"/>
        <w:numPr>
          <w:ilvl w:val="0"/>
          <w:numId w:val="2"/>
        </w:numPr>
      </w:pPr>
      <w:r>
        <w:t xml:space="preserve">Potassium phosphate </w:t>
      </w:r>
      <w:r w:rsidRPr="00BC1C39">
        <w:t>monobasic (KH</w:t>
      </w:r>
      <w:r w:rsidR="00BC1C39" w:rsidRPr="00BC1C39">
        <w:rPr>
          <w:vertAlign w:val="subscript"/>
        </w:rPr>
        <w:t>2</w:t>
      </w:r>
      <w:r w:rsidRPr="00BC1C39">
        <w:t>PO</w:t>
      </w:r>
      <w:r w:rsidRPr="00BC1C39">
        <w:rPr>
          <w:vertAlign w:val="subscript"/>
        </w:rPr>
        <w:t>4</w:t>
      </w:r>
      <w:r w:rsidR="00BC1C39" w:rsidRPr="00BC1C39">
        <w:t>, MW = 136.07</w:t>
      </w:r>
      <w:r w:rsidRPr="00BC1C39">
        <w:t>)</w:t>
      </w:r>
      <w:r w:rsidR="00F64106">
        <w:t xml:space="preserve"> or bought phosphate standard</w:t>
      </w:r>
    </w:p>
    <w:p w:rsidR="006C03C7" w:rsidRDefault="006C03C7" w:rsidP="006C03C7">
      <w:pPr>
        <w:pStyle w:val="NoSpacing"/>
        <w:numPr>
          <w:ilvl w:val="0"/>
          <w:numId w:val="2"/>
        </w:numPr>
      </w:pPr>
      <w:r>
        <w:t>Clear plate reader plates (</w:t>
      </w:r>
      <w:r w:rsidR="00BC1C39">
        <w:t>Greiner 96 flat transparent – GRE96ft or similar such as Corning 384 flat transparent – COS384ft or Costar 96 flat transparent – COS96ft</w:t>
      </w:r>
      <w:r>
        <w:t>)</w:t>
      </w:r>
    </w:p>
    <w:p w:rsidR="006C03C7" w:rsidRDefault="006C03C7" w:rsidP="006C03C7">
      <w:pPr>
        <w:pStyle w:val="NoSpacing"/>
        <w:numPr>
          <w:ilvl w:val="0"/>
          <w:numId w:val="2"/>
        </w:numPr>
      </w:pPr>
      <w:r>
        <w:t xml:space="preserve">Pipette tips </w:t>
      </w:r>
      <w:r w:rsidR="00BF5CD2">
        <w:t xml:space="preserve">and racks </w:t>
      </w:r>
      <w:r>
        <w:t>(for 2-10</w:t>
      </w:r>
      <w:r w:rsidR="00451EBE">
        <w:t xml:space="preserve"> </w:t>
      </w:r>
      <w:r>
        <w:t>ul and 20-200</w:t>
      </w:r>
      <w:r w:rsidR="00451EBE">
        <w:t xml:space="preserve"> </w:t>
      </w:r>
      <w:r>
        <w:t>ul pipette)</w:t>
      </w:r>
    </w:p>
    <w:p w:rsidR="006C03C7" w:rsidRDefault="00E14514" w:rsidP="006C03C7">
      <w:pPr>
        <w:pStyle w:val="NoSpacing"/>
        <w:numPr>
          <w:ilvl w:val="0"/>
          <w:numId w:val="2"/>
        </w:numPr>
      </w:pPr>
      <w:r>
        <w:t xml:space="preserve">Millipore/MilliQ water or distilled water (DI) if MilliQ is not </w:t>
      </w:r>
      <w:r w:rsidR="006C03C7">
        <w:t>available</w:t>
      </w:r>
    </w:p>
    <w:p w:rsidR="006C03C7" w:rsidRDefault="00BF5CD2" w:rsidP="006C03C7">
      <w:pPr>
        <w:pStyle w:val="NoSpacing"/>
        <w:numPr>
          <w:ilvl w:val="0"/>
          <w:numId w:val="2"/>
        </w:numPr>
      </w:pPr>
      <w:r>
        <w:t>Aluminum foil</w:t>
      </w:r>
    </w:p>
    <w:p w:rsidR="00BF5CD2" w:rsidRDefault="00451EBE" w:rsidP="006C03C7">
      <w:pPr>
        <w:pStyle w:val="NoSpacing"/>
        <w:numPr>
          <w:ilvl w:val="0"/>
          <w:numId w:val="2"/>
        </w:numPr>
      </w:pPr>
      <w:r>
        <w:t>Ice and container to hold ice</w:t>
      </w:r>
    </w:p>
    <w:p w:rsidR="00FB71C7" w:rsidRDefault="00FB71C7" w:rsidP="00FB71C7">
      <w:pPr>
        <w:pStyle w:val="NoSpacing"/>
      </w:pPr>
    </w:p>
    <w:p w:rsidR="00FB71C7" w:rsidRPr="00A019DD" w:rsidRDefault="00475BB3" w:rsidP="00475BB3">
      <w:pPr>
        <w:pStyle w:val="NoSpacing"/>
      </w:pPr>
      <w:r>
        <w:t xml:space="preserve">3. </w:t>
      </w:r>
      <w:r w:rsidR="00FB71C7" w:rsidRPr="00A019DD">
        <w:t>Equipment:</w:t>
      </w:r>
    </w:p>
    <w:p w:rsidR="00FB71C7" w:rsidRDefault="00FB71C7" w:rsidP="00FB71C7">
      <w:pPr>
        <w:pStyle w:val="NoSpacing"/>
        <w:numPr>
          <w:ilvl w:val="0"/>
          <w:numId w:val="1"/>
        </w:numPr>
      </w:pPr>
      <w:r>
        <w:t>Tecan plate reader or similar</w:t>
      </w:r>
    </w:p>
    <w:p w:rsidR="00451EBE" w:rsidRDefault="00FB71C7" w:rsidP="00451EBE">
      <w:pPr>
        <w:pStyle w:val="NoSpacing"/>
        <w:numPr>
          <w:ilvl w:val="0"/>
          <w:numId w:val="1"/>
        </w:numPr>
      </w:pPr>
      <w:r>
        <w:t>Volumetric flasks</w:t>
      </w:r>
      <w:r w:rsidR="00F64106">
        <w:t xml:space="preserve"> (3</w:t>
      </w:r>
      <w:r w:rsidR="00A019DD">
        <w:t>, 100 ml and 1, 50 ml)</w:t>
      </w:r>
    </w:p>
    <w:p w:rsidR="00005555" w:rsidRDefault="00005555" w:rsidP="00451EBE">
      <w:pPr>
        <w:pStyle w:val="NoSpacing"/>
        <w:numPr>
          <w:ilvl w:val="0"/>
          <w:numId w:val="1"/>
        </w:numPr>
      </w:pPr>
      <w:r>
        <w:t>250 ml beaker</w:t>
      </w:r>
    </w:p>
    <w:p w:rsidR="00451EBE" w:rsidRDefault="00451EBE" w:rsidP="00451EBE">
      <w:pPr>
        <w:pStyle w:val="NoSpacing"/>
        <w:numPr>
          <w:ilvl w:val="0"/>
          <w:numId w:val="1"/>
        </w:numPr>
      </w:pPr>
      <w:r>
        <w:t>Graduated cylinder (1-100 ml)</w:t>
      </w:r>
    </w:p>
    <w:p w:rsidR="00FB71C7" w:rsidRDefault="00FB71C7" w:rsidP="00FB71C7">
      <w:pPr>
        <w:pStyle w:val="NoSpacing"/>
        <w:numPr>
          <w:ilvl w:val="0"/>
          <w:numId w:val="1"/>
        </w:numPr>
      </w:pPr>
      <w:r>
        <w:t xml:space="preserve">1, 100 ml </w:t>
      </w:r>
      <w:r w:rsidR="00F64106">
        <w:t xml:space="preserve">glass </w:t>
      </w:r>
      <w:r>
        <w:t>Pyrex bottle</w:t>
      </w:r>
    </w:p>
    <w:p w:rsidR="000107A3" w:rsidRDefault="00FB71C7" w:rsidP="000107A3">
      <w:pPr>
        <w:pStyle w:val="NoSpacing"/>
        <w:numPr>
          <w:ilvl w:val="0"/>
          <w:numId w:val="1"/>
        </w:numPr>
      </w:pPr>
      <w:r>
        <w:t xml:space="preserve">1, 50 ml </w:t>
      </w:r>
      <w:r w:rsidR="00F64106">
        <w:t xml:space="preserve">glass </w:t>
      </w:r>
      <w:r>
        <w:t>Pyrex bottle</w:t>
      </w:r>
    </w:p>
    <w:p w:rsidR="006C03C7" w:rsidRDefault="006C03C7" w:rsidP="006C03C7">
      <w:pPr>
        <w:pStyle w:val="NoSpacing"/>
        <w:numPr>
          <w:ilvl w:val="0"/>
          <w:numId w:val="1"/>
        </w:numPr>
      </w:pPr>
      <w:r>
        <w:t>Combo-stir/hot plate and magnetic bar</w:t>
      </w:r>
    </w:p>
    <w:p w:rsidR="006C03C7" w:rsidRDefault="006C03C7" w:rsidP="006C03C7">
      <w:pPr>
        <w:pStyle w:val="NoSpacing"/>
        <w:numPr>
          <w:ilvl w:val="0"/>
          <w:numId w:val="1"/>
        </w:numPr>
      </w:pPr>
      <w:r>
        <w:t>Thermometer</w:t>
      </w:r>
    </w:p>
    <w:p w:rsidR="006C03C7" w:rsidRDefault="006C03C7" w:rsidP="006C03C7">
      <w:pPr>
        <w:pStyle w:val="NoSpacing"/>
        <w:numPr>
          <w:ilvl w:val="0"/>
          <w:numId w:val="1"/>
        </w:numPr>
      </w:pPr>
      <w:r>
        <w:t>2-10</w:t>
      </w:r>
      <w:r w:rsidR="00451EBE">
        <w:t xml:space="preserve"> </w:t>
      </w:r>
      <w:r>
        <w:t>ul and 20-200 ul pipette</w:t>
      </w:r>
    </w:p>
    <w:p w:rsidR="006C03C7" w:rsidRDefault="006C03C7" w:rsidP="006C03C7">
      <w:pPr>
        <w:pStyle w:val="NoSpacing"/>
        <w:numPr>
          <w:ilvl w:val="0"/>
          <w:numId w:val="1"/>
        </w:numPr>
      </w:pPr>
      <w:r>
        <w:t>Multi-channel pipette (if available, makes your life easier)</w:t>
      </w:r>
    </w:p>
    <w:p w:rsidR="006C03C7" w:rsidRDefault="00A86CF5" w:rsidP="006C03C7">
      <w:pPr>
        <w:pStyle w:val="NoSpacing"/>
        <w:numPr>
          <w:ilvl w:val="0"/>
          <w:numId w:val="1"/>
        </w:numPr>
      </w:pPr>
      <w:r>
        <w:t xml:space="preserve">Gloves, </w:t>
      </w:r>
      <w:r w:rsidR="00BF5CD2">
        <w:t>goggles</w:t>
      </w:r>
      <w:r>
        <w:t>, and mask</w:t>
      </w:r>
    </w:p>
    <w:p w:rsidR="00A86CF5" w:rsidRDefault="00A86CF5" w:rsidP="006C03C7">
      <w:pPr>
        <w:pStyle w:val="NoSpacing"/>
        <w:numPr>
          <w:ilvl w:val="0"/>
          <w:numId w:val="1"/>
        </w:numPr>
      </w:pPr>
      <w:r>
        <w:t>Fume hood</w:t>
      </w:r>
    </w:p>
    <w:p w:rsidR="00A019DD" w:rsidRDefault="00A019DD" w:rsidP="00A019DD">
      <w:pPr>
        <w:pStyle w:val="NoSpacing"/>
      </w:pPr>
    </w:p>
    <w:p w:rsidR="00A019DD" w:rsidRDefault="00475BB3" w:rsidP="00475BB3">
      <w:pPr>
        <w:pStyle w:val="NoSpacing"/>
      </w:pPr>
      <w:r>
        <w:t xml:space="preserve">4. </w:t>
      </w:r>
      <w:r w:rsidR="00A019DD">
        <w:t>Preparing</w:t>
      </w:r>
      <w:r w:rsidR="00451EBE">
        <w:t xml:space="preserve"> Malachite</w:t>
      </w:r>
      <w:r w:rsidR="00A019DD">
        <w:t xml:space="preserve"> Reagent Solutions:</w:t>
      </w:r>
    </w:p>
    <w:p w:rsidR="00A019DD" w:rsidRDefault="00A019DD" w:rsidP="00A019DD">
      <w:pPr>
        <w:pStyle w:val="NoSpacing"/>
      </w:pPr>
    </w:p>
    <w:p w:rsidR="00A019DD" w:rsidRDefault="00475BB3" w:rsidP="00A019DD">
      <w:pPr>
        <w:pStyle w:val="NoSpacing"/>
      </w:pPr>
      <w:r>
        <w:t xml:space="preserve">4.1 </w:t>
      </w:r>
      <w:r w:rsidR="00A019DD">
        <w:t>Malachite 1</w:t>
      </w:r>
      <w:r w:rsidR="00451EBE">
        <w:t xml:space="preserve"> (M1)</w:t>
      </w:r>
      <w:r w:rsidR="00E14514">
        <w:t xml:space="preserve"> – makes 100 ml</w:t>
      </w:r>
    </w:p>
    <w:p w:rsidR="00451EBE" w:rsidRDefault="00E14514" w:rsidP="00A019DD">
      <w:pPr>
        <w:pStyle w:val="NoSpacing"/>
        <w:numPr>
          <w:ilvl w:val="0"/>
          <w:numId w:val="3"/>
        </w:numPr>
      </w:pPr>
      <w:r>
        <w:t xml:space="preserve">Prepare </w:t>
      </w:r>
      <w:r w:rsidR="00451EBE">
        <w:t xml:space="preserve">M1 by first using </w:t>
      </w:r>
      <w:r w:rsidR="00005555">
        <w:t>a</w:t>
      </w:r>
      <w:r w:rsidR="00451EBE">
        <w:t xml:space="preserve"> graduated cylinder to measure out 50 ml of MilliQ</w:t>
      </w:r>
      <w:r>
        <w:t>/DI</w:t>
      </w:r>
      <w:r w:rsidR="00451EBE">
        <w:t xml:space="preserve"> water and pour it i</w:t>
      </w:r>
      <w:r>
        <w:t>nto a 100 ml volumetric flask.</w:t>
      </w:r>
    </w:p>
    <w:p w:rsidR="000107A3" w:rsidRDefault="00451EBE" w:rsidP="000107A3">
      <w:pPr>
        <w:pStyle w:val="NoSpacing"/>
        <w:numPr>
          <w:ilvl w:val="0"/>
          <w:numId w:val="3"/>
        </w:numPr>
      </w:pPr>
      <w:r>
        <w:t xml:space="preserve">Place the </w:t>
      </w:r>
      <w:r w:rsidR="00E14514">
        <w:t>flask</w:t>
      </w:r>
      <w:r>
        <w:t xml:space="preserve"> in the ice bath </w:t>
      </w:r>
      <w:r w:rsidRPr="00A86CF5">
        <w:rPr>
          <w:b/>
        </w:rPr>
        <w:t>in the fume hood</w:t>
      </w:r>
      <w:r>
        <w:t xml:space="preserve">. Measure out 16.5 ml of concentrated sulfuric acid with </w:t>
      </w:r>
      <w:r w:rsidR="00005555">
        <w:t>a</w:t>
      </w:r>
      <w:r>
        <w:t xml:space="preserve"> graduated cylinder and slowly add it to the beaker in the ice bath.</w:t>
      </w:r>
    </w:p>
    <w:p w:rsidR="000107A3" w:rsidRDefault="00E14514" w:rsidP="000107A3">
      <w:pPr>
        <w:pStyle w:val="NoSpacing"/>
        <w:numPr>
          <w:ilvl w:val="0"/>
          <w:numId w:val="3"/>
        </w:numPr>
      </w:pPr>
      <w:r>
        <w:t>Place acid solution in the freezer for approximately 20 min.</w:t>
      </w:r>
    </w:p>
    <w:p w:rsidR="000107A3" w:rsidRDefault="000107A3" w:rsidP="000107A3">
      <w:pPr>
        <w:pStyle w:val="NoSpacing"/>
        <w:numPr>
          <w:ilvl w:val="0"/>
          <w:numId w:val="3"/>
        </w:numPr>
      </w:pPr>
      <w:r>
        <w:lastRenderedPageBreak/>
        <w:t>In a second container (you can use the 100 ml Pyrex bottle</w:t>
      </w:r>
      <w:r w:rsidR="00E14514">
        <w:t xml:space="preserve"> to make cleaning up easier</w:t>
      </w:r>
      <w:r>
        <w:t>), add 25 ml of MilliQ</w:t>
      </w:r>
      <w:r w:rsidR="00E14514">
        <w:t>/DI</w:t>
      </w:r>
      <w:r>
        <w:t xml:space="preserve"> water and 1.755 g of ammonium molybdate. Mix well.</w:t>
      </w:r>
    </w:p>
    <w:p w:rsidR="00451EBE" w:rsidRDefault="000107A3" w:rsidP="00A019DD">
      <w:pPr>
        <w:pStyle w:val="NoSpacing"/>
        <w:numPr>
          <w:ilvl w:val="0"/>
          <w:numId w:val="3"/>
        </w:numPr>
      </w:pPr>
      <w:r>
        <w:t xml:space="preserve">Place the 100 ml Pyrex container with the ammonium molybdate in the freezer for </w:t>
      </w:r>
      <w:r w:rsidR="00E14514">
        <w:t xml:space="preserve">approximately </w:t>
      </w:r>
      <w:r>
        <w:t>20 min. Do not let it freeze.</w:t>
      </w:r>
    </w:p>
    <w:p w:rsidR="000107A3" w:rsidRDefault="00E14514" w:rsidP="00A019DD">
      <w:pPr>
        <w:pStyle w:val="NoSpacing"/>
        <w:numPr>
          <w:ilvl w:val="0"/>
          <w:numId w:val="3"/>
        </w:numPr>
      </w:pPr>
      <w:r>
        <w:t>When both solutions are cold, pour the ammonium molybdate solution from the Pyrex bottle into the acid solution in the 100 ml flask and top it off to 100 ml with MilliQ/DI water. Return to Pyrex bottle.</w:t>
      </w:r>
    </w:p>
    <w:p w:rsidR="00E14514" w:rsidRDefault="00E14514" w:rsidP="00A019DD">
      <w:pPr>
        <w:pStyle w:val="NoSpacing"/>
        <w:numPr>
          <w:ilvl w:val="0"/>
          <w:numId w:val="3"/>
        </w:numPr>
      </w:pPr>
      <w:r w:rsidRPr="00A86CF5">
        <w:rPr>
          <w:b/>
        </w:rPr>
        <w:t xml:space="preserve">Store </w:t>
      </w:r>
      <w:r w:rsidR="00005555" w:rsidRPr="00A86CF5">
        <w:rPr>
          <w:b/>
        </w:rPr>
        <w:t xml:space="preserve">the M1 </w:t>
      </w:r>
      <w:r w:rsidRPr="00A86CF5">
        <w:rPr>
          <w:b/>
        </w:rPr>
        <w:t xml:space="preserve">solution in the </w:t>
      </w:r>
      <w:r w:rsidR="00005555" w:rsidRPr="00A86CF5">
        <w:rPr>
          <w:b/>
        </w:rPr>
        <w:t>fridge (4C)</w:t>
      </w:r>
      <w:r w:rsidR="00005555">
        <w:t xml:space="preserve"> in the Pyrex bottle. </w:t>
      </w:r>
      <w:r w:rsidR="00005555" w:rsidRPr="00BC1C39">
        <w:t>Lasts several months.</w:t>
      </w:r>
    </w:p>
    <w:p w:rsidR="00A86CF5" w:rsidRDefault="00A86CF5" w:rsidP="00A86CF5">
      <w:pPr>
        <w:pStyle w:val="NoSpacing"/>
      </w:pPr>
    </w:p>
    <w:p w:rsidR="00005555" w:rsidRDefault="00475BB3" w:rsidP="00005555">
      <w:pPr>
        <w:pStyle w:val="NoSpacing"/>
      </w:pPr>
      <w:r>
        <w:t xml:space="preserve">4.2 </w:t>
      </w:r>
      <w:r w:rsidR="00005555">
        <w:t>Malachite 2 (M2) – makes 50 ml</w:t>
      </w:r>
    </w:p>
    <w:p w:rsidR="00005555" w:rsidRDefault="00005555" w:rsidP="00005555">
      <w:pPr>
        <w:pStyle w:val="NoSpacing"/>
        <w:numPr>
          <w:ilvl w:val="0"/>
          <w:numId w:val="5"/>
        </w:numPr>
      </w:pPr>
      <w:r>
        <w:t>Prepare M2 by using a graduated cylinder to measure out 50 ml of MilliQ/DI water and pouring into a 250 ml beaker.</w:t>
      </w:r>
    </w:p>
    <w:p w:rsidR="00005555" w:rsidRDefault="00005555" w:rsidP="00005555">
      <w:pPr>
        <w:pStyle w:val="NoSpacing"/>
        <w:numPr>
          <w:ilvl w:val="0"/>
          <w:numId w:val="5"/>
        </w:numPr>
      </w:pPr>
      <w:r>
        <w:t>Place beaker on a combo-hot/stir plate and heat until 80C using a thermometer.</w:t>
      </w:r>
    </w:p>
    <w:p w:rsidR="00005555" w:rsidRDefault="00005555" w:rsidP="00005555">
      <w:pPr>
        <w:pStyle w:val="NoSpacing"/>
        <w:numPr>
          <w:ilvl w:val="0"/>
          <w:numId w:val="5"/>
        </w:numPr>
      </w:pPr>
      <w:r>
        <w:t xml:space="preserve">Turn heat down and add </w:t>
      </w:r>
      <w:r w:rsidR="00A86CF5">
        <w:t>175 mg of PVA.</w:t>
      </w:r>
    </w:p>
    <w:p w:rsidR="00A86CF5" w:rsidRDefault="00A86CF5" w:rsidP="00005555">
      <w:pPr>
        <w:pStyle w:val="NoSpacing"/>
        <w:numPr>
          <w:ilvl w:val="0"/>
          <w:numId w:val="5"/>
        </w:numPr>
      </w:pPr>
      <w:r>
        <w:t>Mix with the stir plate until the PVA dissolves (approximately 30 min) to ensure that PVA dissolves.</w:t>
      </w:r>
    </w:p>
    <w:p w:rsidR="00A019DD" w:rsidRDefault="00A86CF5" w:rsidP="009A7CD5">
      <w:pPr>
        <w:pStyle w:val="NoSpacing"/>
        <w:numPr>
          <w:ilvl w:val="0"/>
          <w:numId w:val="5"/>
        </w:numPr>
      </w:pPr>
      <w:r>
        <w:t>Wearing a mask</w:t>
      </w:r>
      <w:r w:rsidR="002D3485">
        <w:t xml:space="preserve"> and gloves</w:t>
      </w:r>
      <w:r>
        <w:t>, weigh out 17.5 mg of malachit</w:t>
      </w:r>
      <w:r w:rsidR="002D3485">
        <w:t>e green in the fume hood</w:t>
      </w:r>
      <w:r>
        <w:t xml:space="preserve">. </w:t>
      </w:r>
      <w:r w:rsidRPr="00A86CF5">
        <w:rPr>
          <w:b/>
        </w:rPr>
        <w:t>It is important to wear a mask because inhaling malachite dusk can be harmful to your health.</w:t>
      </w:r>
    </w:p>
    <w:p w:rsidR="00A86CF5" w:rsidRDefault="00F64106" w:rsidP="009A7CD5">
      <w:pPr>
        <w:pStyle w:val="NoSpacing"/>
        <w:numPr>
          <w:ilvl w:val="0"/>
          <w:numId w:val="5"/>
        </w:numPr>
      </w:pPr>
      <w:r>
        <w:t>Turn off the head and add the malachite green to the PVA solution.</w:t>
      </w:r>
    </w:p>
    <w:p w:rsidR="00F64106" w:rsidRDefault="00F64106" w:rsidP="009A7CD5">
      <w:pPr>
        <w:pStyle w:val="NoSpacing"/>
        <w:numPr>
          <w:ilvl w:val="0"/>
          <w:numId w:val="5"/>
        </w:numPr>
      </w:pPr>
      <w:r>
        <w:t>Stir for 5 minutes and transfer to a 50 ml Pyrex bottle.</w:t>
      </w:r>
    </w:p>
    <w:p w:rsidR="00F64106" w:rsidRDefault="00F64106" w:rsidP="009A7CD5">
      <w:pPr>
        <w:pStyle w:val="NoSpacing"/>
        <w:numPr>
          <w:ilvl w:val="0"/>
          <w:numId w:val="5"/>
        </w:numPr>
      </w:pPr>
      <w:r w:rsidRPr="00F64106">
        <w:rPr>
          <w:b/>
        </w:rPr>
        <w:t>Store solution at room temperature wrapped in aluminum foil</w:t>
      </w:r>
      <w:r>
        <w:t xml:space="preserve"> to keep it from photodegrading. </w:t>
      </w:r>
      <w:r w:rsidRPr="00BC1C39">
        <w:t xml:space="preserve">Lasts several </w:t>
      </w:r>
      <w:r w:rsidR="00C6647C">
        <w:t>weeks but if white precipitate forms, dischard</w:t>
      </w:r>
      <w:r w:rsidRPr="00BC1C39">
        <w:t>.</w:t>
      </w:r>
    </w:p>
    <w:p w:rsidR="00F64106" w:rsidRDefault="00F64106" w:rsidP="00F64106">
      <w:pPr>
        <w:pStyle w:val="NoSpacing"/>
      </w:pPr>
    </w:p>
    <w:p w:rsidR="00F64106" w:rsidRDefault="00295858" w:rsidP="00F64106">
      <w:pPr>
        <w:pStyle w:val="NoSpacing"/>
      </w:pPr>
      <w:r>
        <w:t xml:space="preserve">5. </w:t>
      </w:r>
      <w:r w:rsidR="00F64106">
        <w:t xml:space="preserve">Making </w:t>
      </w:r>
      <w:r w:rsidR="000C03DA">
        <w:t xml:space="preserve">1 ppm </w:t>
      </w:r>
      <w:r w:rsidR="00F64106">
        <w:t>Phosphate</w:t>
      </w:r>
      <w:r w:rsidR="000C03DA">
        <w:t xml:space="preserve"> Standard</w:t>
      </w:r>
      <w:r w:rsidR="00F64106">
        <w:t>:</w:t>
      </w:r>
    </w:p>
    <w:p w:rsidR="00F64106" w:rsidRDefault="00F64106" w:rsidP="00F64106">
      <w:pPr>
        <w:pStyle w:val="NoSpacing"/>
        <w:numPr>
          <w:ilvl w:val="0"/>
          <w:numId w:val="6"/>
        </w:numPr>
      </w:pPr>
      <w:r>
        <w:t xml:space="preserve">If you have a bought phosphate standard skip </w:t>
      </w:r>
      <w:r w:rsidR="007636E4">
        <w:t>to step #2</w:t>
      </w:r>
      <w:r>
        <w:t>. If you do</w:t>
      </w:r>
      <w:r w:rsidR="007636E4">
        <w:t xml:space="preserve"> not have a bought standard you can make a 1000 ppm phosphate (as P) stock by adding </w:t>
      </w:r>
      <w:r w:rsidR="007636E4" w:rsidRPr="00BC1C39">
        <w:t>0.439 g of potassium phosphate</w:t>
      </w:r>
      <w:r w:rsidR="00BC1C39" w:rsidRPr="00BC1C39">
        <w:t xml:space="preserve"> monobasic</w:t>
      </w:r>
      <w:r w:rsidR="007636E4" w:rsidRPr="00BC1C39">
        <w:t xml:space="preserve"> to a 100 ml volumetric flask and topping it</w:t>
      </w:r>
      <w:r w:rsidR="007636E4">
        <w:t xml:space="preserve"> off to 100 ml with MilliQ/DI water.</w:t>
      </w:r>
    </w:p>
    <w:p w:rsidR="007636E4" w:rsidRDefault="007636E4" w:rsidP="00F64106">
      <w:pPr>
        <w:pStyle w:val="NoSpacing"/>
        <w:numPr>
          <w:ilvl w:val="0"/>
          <w:numId w:val="6"/>
        </w:numPr>
      </w:pPr>
      <w:r>
        <w:t xml:space="preserve">Make a 1 ppm P solution from the 1000 ppm P stock solution by adding </w:t>
      </w:r>
      <w:r w:rsidR="00DC6E1F">
        <w:t>0.1 ml</w:t>
      </w:r>
      <w:r>
        <w:t xml:space="preserve"> of the 1000 ppm P solution to a 100 ml volumetric flask and topping it off to 100 ml with MilliQ/DI water. </w:t>
      </w:r>
      <w:r w:rsidRPr="000C03DA">
        <w:rPr>
          <w:b/>
        </w:rPr>
        <w:t xml:space="preserve">It’s recommended that you calibrate your pipette before adding the </w:t>
      </w:r>
      <w:r w:rsidR="00DC6E1F">
        <w:rPr>
          <w:b/>
        </w:rPr>
        <w:t>0.</w:t>
      </w:r>
      <w:r w:rsidRPr="000C03DA">
        <w:rPr>
          <w:b/>
        </w:rPr>
        <w:t>1 ml (</w:t>
      </w:r>
      <w:r w:rsidR="00DC6E1F">
        <w:rPr>
          <w:b/>
        </w:rPr>
        <w:t>0.</w:t>
      </w:r>
      <w:r w:rsidRPr="000C03DA">
        <w:rPr>
          <w:b/>
        </w:rPr>
        <w:t xml:space="preserve">1 ml = </w:t>
      </w:r>
      <w:r w:rsidR="00DC6E1F">
        <w:rPr>
          <w:b/>
        </w:rPr>
        <w:t>0.</w:t>
      </w:r>
      <w:r w:rsidRPr="000C03DA">
        <w:rPr>
          <w:b/>
        </w:rPr>
        <w:t>1 g).</w:t>
      </w:r>
    </w:p>
    <w:p w:rsidR="007636E4" w:rsidRDefault="007636E4" w:rsidP="00F64106">
      <w:pPr>
        <w:pStyle w:val="NoSpacing"/>
        <w:numPr>
          <w:ilvl w:val="0"/>
          <w:numId w:val="6"/>
        </w:numPr>
      </w:pPr>
      <w:r>
        <w:t xml:space="preserve">Keep the 1 and 1000 ppm P stock solutions in the fridge </w:t>
      </w:r>
      <w:r w:rsidR="00757326">
        <w:t xml:space="preserve">(4C) </w:t>
      </w:r>
      <w:r>
        <w:t>with M1.</w:t>
      </w:r>
      <w:r w:rsidR="001F49D7">
        <w:t xml:space="preserve"> The 1 ppm P standard should be remade every two weeks or so</w:t>
      </w:r>
      <w:r w:rsidR="00757326">
        <w:t xml:space="preserve"> as biological activity could influence the concentration</w:t>
      </w:r>
      <w:r w:rsidR="001F49D7">
        <w:t>.</w:t>
      </w:r>
    </w:p>
    <w:p w:rsidR="001F49D7" w:rsidRDefault="001F49D7" w:rsidP="00F64106">
      <w:pPr>
        <w:pStyle w:val="NoSpacing"/>
      </w:pPr>
    </w:p>
    <w:p w:rsidR="001F49D7" w:rsidRDefault="00295858" w:rsidP="00F64106">
      <w:pPr>
        <w:pStyle w:val="NoSpacing"/>
      </w:pPr>
      <w:r>
        <w:t xml:space="preserve">6. </w:t>
      </w:r>
      <w:r w:rsidR="001F49D7">
        <w:t xml:space="preserve">Sample Concentration </w:t>
      </w:r>
      <w:r w:rsidR="00421777">
        <w:t>Pre-Check</w:t>
      </w:r>
    </w:p>
    <w:p w:rsidR="00475BB3" w:rsidRDefault="001F49D7" w:rsidP="00475BB3">
      <w:pPr>
        <w:pStyle w:val="NoSpacing"/>
      </w:pPr>
      <w:r>
        <w:t>Before running all your samples</w:t>
      </w:r>
      <w:r w:rsidR="00421777">
        <w:t>,</w:t>
      </w:r>
      <w:r>
        <w:t xml:space="preserve"> it is helpful to analyze some on a “test plate”</w:t>
      </w:r>
      <w:r w:rsidR="008B6639">
        <w:t xml:space="preserve"> to determine whether they are in</w:t>
      </w:r>
      <w:r>
        <w:t xml:space="preserve"> the range of the standards (i.e., if you need to dilute them). Test dilutions for a Hedley fractionation might be something like adding 50</w:t>
      </w:r>
      <w:r w:rsidR="000D37D8">
        <w:t>, 20, and 10 ul of sample and topping each off to 200 ul. If you expect your sample concentrations to be high, you might want to add</w:t>
      </w:r>
      <w:r w:rsidR="00757326">
        <w:t xml:space="preserve"> 10, 5, and 2 ul of each sample.</w:t>
      </w:r>
      <w:r w:rsidR="008B6639">
        <w:t xml:space="preserve"> When it comes to creating the final plate for analysis it may help to make dilutions in a second plate. If possible, try to work with larger volumes (e.g. 20 ul or more for a 100 ul pipette) or at least volumes that are in the mid-range of the pipette you are using so you can avoid pipetting errors.</w:t>
      </w:r>
    </w:p>
    <w:p w:rsidR="00295858" w:rsidRDefault="00295858" w:rsidP="00475BB3">
      <w:pPr>
        <w:pStyle w:val="NoSpacing"/>
      </w:pPr>
    </w:p>
    <w:p w:rsidR="00757326" w:rsidRDefault="00757326" w:rsidP="00475BB3">
      <w:pPr>
        <w:pStyle w:val="NoSpacing"/>
      </w:pPr>
      <w:r>
        <w:t xml:space="preserve">7. Preparing </w:t>
      </w:r>
      <w:r w:rsidR="00421777">
        <w:t xml:space="preserve">and Analyzing </w:t>
      </w:r>
      <w:r>
        <w:t>a Plate</w:t>
      </w:r>
    </w:p>
    <w:p w:rsidR="00757326" w:rsidRDefault="00757326" w:rsidP="00475BB3">
      <w:pPr>
        <w:pStyle w:val="NoSpacing"/>
      </w:pPr>
    </w:p>
    <w:p w:rsidR="00475BB3" w:rsidRDefault="00757326" w:rsidP="00475BB3">
      <w:pPr>
        <w:pStyle w:val="NoSpacing"/>
      </w:pPr>
      <w:r>
        <w:t xml:space="preserve">7.1 </w:t>
      </w:r>
      <w:r w:rsidR="00475BB3">
        <w:t>Standard Curve</w:t>
      </w:r>
    </w:p>
    <w:p w:rsidR="00475BB3" w:rsidRDefault="00475BB3" w:rsidP="00475BB3">
      <w:pPr>
        <w:pStyle w:val="NoSpacing"/>
      </w:pPr>
      <w:r>
        <w:t>Each time you analyze a plate you will need to create a standard curve using the 1 ppm P standard (see previous section). It is recommended that you use the first row of the plate (A1-A8) for your standard curve. All standards should add up to 200 ul. A typical standard curve may look something like this:</w:t>
      </w:r>
    </w:p>
    <w:p w:rsidR="00475BB3" w:rsidRDefault="00475BB3" w:rsidP="00475BB3">
      <w:pPr>
        <w:pStyle w:val="NoSpacing"/>
      </w:pPr>
    </w:p>
    <w:p w:rsidR="00DF558A" w:rsidRDefault="00DF558A" w:rsidP="00475BB3">
      <w:pPr>
        <w:pStyle w:val="NoSpacing"/>
      </w:pPr>
    </w:p>
    <w:p w:rsidR="00DF558A" w:rsidRDefault="00DF558A" w:rsidP="00475BB3">
      <w:pPr>
        <w:pStyle w:val="NoSpacing"/>
      </w:pPr>
    </w:p>
    <w:p w:rsidR="00DF558A" w:rsidRDefault="00C753E3" w:rsidP="00475BB3">
      <w:pPr>
        <w:pStyle w:val="NoSpacing"/>
      </w:pPr>
      <w:r>
        <w:t>Table 1. Example standard curve preparation amounts and concentrations for a malachite green assay plate.</w:t>
      </w:r>
    </w:p>
    <w:p w:rsidR="00DF558A" w:rsidRDefault="00DF558A" w:rsidP="00475BB3">
      <w:pPr>
        <w:pStyle w:val="NoSpacing"/>
      </w:pPr>
    </w:p>
    <w:tbl>
      <w:tblPr>
        <w:tblStyle w:val="TableGridLight"/>
        <w:tblW w:w="0" w:type="auto"/>
        <w:tblLook w:val="04A0" w:firstRow="1" w:lastRow="0" w:firstColumn="1" w:lastColumn="0" w:noHBand="0" w:noVBand="1"/>
      </w:tblPr>
      <w:tblGrid>
        <w:gridCol w:w="2403"/>
        <w:gridCol w:w="2414"/>
        <w:gridCol w:w="2403"/>
        <w:gridCol w:w="2130"/>
      </w:tblGrid>
      <w:tr w:rsidR="00475BB3" w:rsidTr="00E63799">
        <w:tc>
          <w:tcPr>
            <w:tcW w:w="2403" w:type="dxa"/>
            <w:tcBorders>
              <w:top w:val="single" w:sz="4" w:space="0" w:color="auto"/>
              <w:bottom w:val="single" w:sz="4" w:space="0" w:color="auto"/>
            </w:tcBorders>
          </w:tcPr>
          <w:p w:rsidR="00475BB3" w:rsidRDefault="00475BB3" w:rsidP="003D721B">
            <w:pPr>
              <w:pStyle w:val="NoSpacing"/>
              <w:jc w:val="center"/>
            </w:pPr>
            <w:r>
              <w:t>Standard (Well ID)</w:t>
            </w:r>
          </w:p>
        </w:tc>
        <w:tc>
          <w:tcPr>
            <w:tcW w:w="2414" w:type="dxa"/>
            <w:tcBorders>
              <w:top w:val="single" w:sz="4" w:space="0" w:color="auto"/>
              <w:bottom w:val="single" w:sz="4" w:space="0" w:color="auto"/>
            </w:tcBorders>
          </w:tcPr>
          <w:p w:rsidR="00475BB3" w:rsidRDefault="00475BB3" w:rsidP="003D721B">
            <w:pPr>
              <w:pStyle w:val="NoSpacing"/>
              <w:jc w:val="center"/>
            </w:pPr>
            <w:r>
              <w:t>Amount of MilliQ/DI Water Added (ul)</w:t>
            </w:r>
          </w:p>
        </w:tc>
        <w:tc>
          <w:tcPr>
            <w:tcW w:w="2403" w:type="dxa"/>
            <w:tcBorders>
              <w:top w:val="single" w:sz="4" w:space="0" w:color="auto"/>
              <w:bottom w:val="single" w:sz="4" w:space="0" w:color="auto"/>
            </w:tcBorders>
          </w:tcPr>
          <w:p w:rsidR="00475BB3" w:rsidRPr="00B10C37" w:rsidRDefault="00475BB3" w:rsidP="003D721B">
            <w:pPr>
              <w:pStyle w:val="NoSpacing"/>
              <w:jc w:val="center"/>
            </w:pPr>
            <w:r w:rsidRPr="00B10C37">
              <w:t>Amount of 1ppm P Standard Added (ul)</w:t>
            </w:r>
          </w:p>
        </w:tc>
        <w:tc>
          <w:tcPr>
            <w:tcW w:w="2130" w:type="dxa"/>
            <w:tcBorders>
              <w:top w:val="single" w:sz="4" w:space="0" w:color="auto"/>
              <w:bottom w:val="single" w:sz="4" w:space="0" w:color="auto"/>
            </w:tcBorders>
          </w:tcPr>
          <w:p w:rsidR="00475BB3" w:rsidRPr="00B10C37" w:rsidRDefault="00475BB3" w:rsidP="003D721B">
            <w:pPr>
              <w:pStyle w:val="NoSpacing"/>
              <w:jc w:val="center"/>
            </w:pPr>
            <w:r>
              <w:t>Actual Concentration (ppm phosphate-P)</w:t>
            </w:r>
            <w:r w:rsidR="006D6DAD" w:rsidRPr="006D6DAD">
              <w:rPr>
                <w:vertAlign w:val="superscript"/>
              </w:rPr>
              <w:t>a</w:t>
            </w:r>
          </w:p>
        </w:tc>
      </w:tr>
      <w:tr w:rsidR="00475BB3" w:rsidTr="00E63799">
        <w:tc>
          <w:tcPr>
            <w:tcW w:w="2403" w:type="dxa"/>
            <w:tcBorders>
              <w:top w:val="single" w:sz="4" w:space="0" w:color="auto"/>
            </w:tcBorders>
          </w:tcPr>
          <w:p w:rsidR="00475BB3" w:rsidRDefault="00475BB3" w:rsidP="003D721B">
            <w:pPr>
              <w:pStyle w:val="NoSpacing"/>
              <w:jc w:val="center"/>
            </w:pPr>
            <w:r>
              <w:t>S1 (A1)</w:t>
            </w:r>
          </w:p>
        </w:tc>
        <w:tc>
          <w:tcPr>
            <w:tcW w:w="2414" w:type="dxa"/>
            <w:tcBorders>
              <w:top w:val="single" w:sz="4" w:space="0" w:color="auto"/>
            </w:tcBorders>
          </w:tcPr>
          <w:p w:rsidR="00475BB3" w:rsidRDefault="00475BB3" w:rsidP="003D721B">
            <w:pPr>
              <w:pStyle w:val="NoSpacing"/>
              <w:jc w:val="center"/>
            </w:pPr>
            <w:r>
              <w:t>200</w:t>
            </w:r>
          </w:p>
        </w:tc>
        <w:tc>
          <w:tcPr>
            <w:tcW w:w="2403" w:type="dxa"/>
            <w:tcBorders>
              <w:top w:val="single" w:sz="4" w:space="0" w:color="auto"/>
            </w:tcBorders>
          </w:tcPr>
          <w:p w:rsidR="00475BB3" w:rsidRPr="00B10C37" w:rsidRDefault="00475BB3" w:rsidP="003D721B">
            <w:pPr>
              <w:pStyle w:val="NoSpacing"/>
              <w:jc w:val="center"/>
            </w:pPr>
            <w:r>
              <w:t>0</w:t>
            </w:r>
          </w:p>
        </w:tc>
        <w:tc>
          <w:tcPr>
            <w:tcW w:w="2130" w:type="dxa"/>
            <w:tcBorders>
              <w:top w:val="single" w:sz="4" w:space="0" w:color="auto"/>
            </w:tcBorders>
          </w:tcPr>
          <w:p w:rsidR="00475BB3" w:rsidRPr="00B10C37" w:rsidRDefault="00475BB3" w:rsidP="003D721B">
            <w:pPr>
              <w:pStyle w:val="NoSpacing"/>
              <w:jc w:val="center"/>
            </w:pPr>
            <w:r>
              <w:t>0</w:t>
            </w:r>
          </w:p>
        </w:tc>
      </w:tr>
      <w:tr w:rsidR="00475BB3" w:rsidTr="003D721B">
        <w:tc>
          <w:tcPr>
            <w:tcW w:w="2403" w:type="dxa"/>
          </w:tcPr>
          <w:p w:rsidR="00475BB3" w:rsidRDefault="00475BB3" w:rsidP="003D721B">
            <w:pPr>
              <w:pStyle w:val="NoSpacing"/>
              <w:jc w:val="center"/>
            </w:pPr>
            <w:r>
              <w:t>S2 (A2)</w:t>
            </w:r>
          </w:p>
        </w:tc>
        <w:tc>
          <w:tcPr>
            <w:tcW w:w="2414" w:type="dxa"/>
          </w:tcPr>
          <w:p w:rsidR="00475BB3" w:rsidRDefault="00475BB3" w:rsidP="003D721B">
            <w:pPr>
              <w:pStyle w:val="NoSpacing"/>
              <w:jc w:val="center"/>
            </w:pPr>
            <w:r>
              <w:t>180</w:t>
            </w:r>
          </w:p>
        </w:tc>
        <w:tc>
          <w:tcPr>
            <w:tcW w:w="2403" w:type="dxa"/>
          </w:tcPr>
          <w:p w:rsidR="00475BB3" w:rsidRPr="00B10C37" w:rsidRDefault="00475BB3" w:rsidP="003D721B">
            <w:pPr>
              <w:pStyle w:val="NoSpacing"/>
              <w:jc w:val="center"/>
            </w:pPr>
            <w:r>
              <w:t>20</w:t>
            </w:r>
          </w:p>
        </w:tc>
        <w:tc>
          <w:tcPr>
            <w:tcW w:w="2130" w:type="dxa"/>
          </w:tcPr>
          <w:p w:rsidR="00475BB3" w:rsidRPr="00B10C37" w:rsidRDefault="00DF558A" w:rsidP="003D721B">
            <w:pPr>
              <w:pStyle w:val="NoSpacing"/>
              <w:jc w:val="center"/>
            </w:pPr>
            <w:r>
              <w:t>0.1</w:t>
            </w:r>
          </w:p>
        </w:tc>
      </w:tr>
      <w:tr w:rsidR="00475BB3" w:rsidTr="003D721B">
        <w:tc>
          <w:tcPr>
            <w:tcW w:w="2403" w:type="dxa"/>
          </w:tcPr>
          <w:p w:rsidR="00475BB3" w:rsidRDefault="00475BB3" w:rsidP="003D721B">
            <w:pPr>
              <w:pStyle w:val="NoSpacing"/>
              <w:jc w:val="center"/>
            </w:pPr>
            <w:r>
              <w:t>S3 (A3)</w:t>
            </w:r>
          </w:p>
        </w:tc>
        <w:tc>
          <w:tcPr>
            <w:tcW w:w="2414" w:type="dxa"/>
          </w:tcPr>
          <w:p w:rsidR="00475BB3" w:rsidRDefault="00475BB3" w:rsidP="003D721B">
            <w:pPr>
              <w:pStyle w:val="NoSpacing"/>
              <w:jc w:val="center"/>
            </w:pPr>
            <w:r>
              <w:t>160</w:t>
            </w:r>
          </w:p>
        </w:tc>
        <w:tc>
          <w:tcPr>
            <w:tcW w:w="2403" w:type="dxa"/>
          </w:tcPr>
          <w:p w:rsidR="00475BB3" w:rsidRPr="00B10C37" w:rsidRDefault="00475BB3" w:rsidP="003D721B">
            <w:pPr>
              <w:pStyle w:val="NoSpacing"/>
              <w:jc w:val="center"/>
            </w:pPr>
            <w:r>
              <w:t>40</w:t>
            </w:r>
          </w:p>
        </w:tc>
        <w:tc>
          <w:tcPr>
            <w:tcW w:w="2130" w:type="dxa"/>
          </w:tcPr>
          <w:p w:rsidR="00475BB3" w:rsidRPr="00B10C37" w:rsidRDefault="00DF558A" w:rsidP="003D721B">
            <w:pPr>
              <w:pStyle w:val="NoSpacing"/>
              <w:jc w:val="center"/>
            </w:pPr>
            <w:r>
              <w:t>0.2</w:t>
            </w:r>
          </w:p>
        </w:tc>
      </w:tr>
      <w:tr w:rsidR="00475BB3" w:rsidTr="003D721B">
        <w:tc>
          <w:tcPr>
            <w:tcW w:w="2403" w:type="dxa"/>
          </w:tcPr>
          <w:p w:rsidR="00475BB3" w:rsidRDefault="00475BB3" w:rsidP="003D721B">
            <w:pPr>
              <w:pStyle w:val="NoSpacing"/>
              <w:jc w:val="center"/>
            </w:pPr>
            <w:r>
              <w:t>S4 (A4)</w:t>
            </w:r>
          </w:p>
        </w:tc>
        <w:tc>
          <w:tcPr>
            <w:tcW w:w="2414" w:type="dxa"/>
          </w:tcPr>
          <w:p w:rsidR="00475BB3" w:rsidRDefault="00475BB3" w:rsidP="003D721B">
            <w:pPr>
              <w:pStyle w:val="NoSpacing"/>
              <w:jc w:val="center"/>
            </w:pPr>
            <w:r>
              <w:t>140</w:t>
            </w:r>
          </w:p>
        </w:tc>
        <w:tc>
          <w:tcPr>
            <w:tcW w:w="2403" w:type="dxa"/>
          </w:tcPr>
          <w:p w:rsidR="00475BB3" w:rsidRPr="00B10C37" w:rsidRDefault="00475BB3" w:rsidP="003D721B">
            <w:pPr>
              <w:pStyle w:val="NoSpacing"/>
              <w:jc w:val="center"/>
            </w:pPr>
            <w:r>
              <w:t>60</w:t>
            </w:r>
          </w:p>
        </w:tc>
        <w:tc>
          <w:tcPr>
            <w:tcW w:w="2130" w:type="dxa"/>
          </w:tcPr>
          <w:p w:rsidR="00475BB3" w:rsidRPr="00B10C37" w:rsidRDefault="006D6DAD" w:rsidP="003D721B">
            <w:pPr>
              <w:pStyle w:val="NoSpacing"/>
              <w:jc w:val="center"/>
            </w:pPr>
            <w:r>
              <w:t>0.3</w:t>
            </w:r>
          </w:p>
        </w:tc>
      </w:tr>
      <w:tr w:rsidR="00475BB3" w:rsidTr="003D721B">
        <w:tc>
          <w:tcPr>
            <w:tcW w:w="2403" w:type="dxa"/>
          </w:tcPr>
          <w:p w:rsidR="00475BB3" w:rsidRDefault="00475BB3" w:rsidP="003D721B">
            <w:pPr>
              <w:pStyle w:val="NoSpacing"/>
              <w:jc w:val="center"/>
            </w:pPr>
            <w:r>
              <w:t>S5 (A5)</w:t>
            </w:r>
          </w:p>
        </w:tc>
        <w:tc>
          <w:tcPr>
            <w:tcW w:w="2414" w:type="dxa"/>
          </w:tcPr>
          <w:p w:rsidR="00475BB3" w:rsidRDefault="00475BB3" w:rsidP="003D721B">
            <w:pPr>
              <w:pStyle w:val="NoSpacing"/>
              <w:jc w:val="center"/>
            </w:pPr>
            <w:r>
              <w:t>120</w:t>
            </w:r>
          </w:p>
        </w:tc>
        <w:tc>
          <w:tcPr>
            <w:tcW w:w="2403" w:type="dxa"/>
          </w:tcPr>
          <w:p w:rsidR="00475BB3" w:rsidRPr="00B10C37" w:rsidRDefault="00475BB3" w:rsidP="003D721B">
            <w:pPr>
              <w:pStyle w:val="NoSpacing"/>
              <w:jc w:val="center"/>
            </w:pPr>
            <w:r>
              <w:t>80</w:t>
            </w:r>
          </w:p>
        </w:tc>
        <w:tc>
          <w:tcPr>
            <w:tcW w:w="2130" w:type="dxa"/>
          </w:tcPr>
          <w:p w:rsidR="00475BB3" w:rsidRPr="00B10C37" w:rsidRDefault="00F22CEC" w:rsidP="003D721B">
            <w:pPr>
              <w:pStyle w:val="NoSpacing"/>
              <w:jc w:val="center"/>
            </w:pPr>
            <w:r>
              <w:t>0.4</w:t>
            </w:r>
          </w:p>
        </w:tc>
      </w:tr>
      <w:tr w:rsidR="00475BB3" w:rsidTr="003D721B">
        <w:tc>
          <w:tcPr>
            <w:tcW w:w="2403" w:type="dxa"/>
          </w:tcPr>
          <w:p w:rsidR="00475BB3" w:rsidRDefault="00475BB3" w:rsidP="003D721B">
            <w:pPr>
              <w:pStyle w:val="NoSpacing"/>
              <w:jc w:val="center"/>
            </w:pPr>
            <w:r>
              <w:t>S6 (A6)</w:t>
            </w:r>
          </w:p>
        </w:tc>
        <w:tc>
          <w:tcPr>
            <w:tcW w:w="2414" w:type="dxa"/>
          </w:tcPr>
          <w:p w:rsidR="00475BB3" w:rsidRDefault="00475BB3" w:rsidP="003D721B">
            <w:pPr>
              <w:pStyle w:val="NoSpacing"/>
              <w:jc w:val="center"/>
            </w:pPr>
            <w:r>
              <w:t>100</w:t>
            </w:r>
          </w:p>
        </w:tc>
        <w:tc>
          <w:tcPr>
            <w:tcW w:w="2403" w:type="dxa"/>
          </w:tcPr>
          <w:p w:rsidR="00475BB3" w:rsidRPr="00B10C37" w:rsidRDefault="00475BB3" w:rsidP="003D721B">
            <w:pPr>
              <w:pStyle w:val="NoSpacing"/>
              <w:jc w:val="center"/>
            </w:pPr>
            <w:r>
              <w:t>100</w:t>
            </w:r>
          </w:p>
        </w:tc>
        <w:tc>
          <w:tcPr>
            <w:tcW w:w="2130" w:type="dxa"/>
          </w:tcPr>
          <w:p w:rsidR="00475BB3" w:rsidRPr="00B10C37" w:rsidRDefault="00475BB3" w:rsidP="003D721B">
            <w:pPr>
              <w:pStyle w:val="NoSpacing"/>
              <w:jc w:val="center"/>
            </w:pPr>
            <w:r>
              <w:t>0.5</w:t>
            </w:r>
          </w:p>
        </w:tc>
      </w:tr>
      <w:tr w:rsidR="00475BB3" w:rsidTr="00E63799">
        <w:tc>
          <w:tcPr>
            <w:tcW w:w="2403" w:type="dxa"/>
            <w:tcBorders>
              <w:bottom w:val="single" w:sz="4" w:space="0" w:color="BFBFBF" w:themeColor="background1" w:themeShade="BF"/>
            </w:tcBorders>
          </w:tcPr>
          <w:p w:rsidR="00475BB3" w:rsidRDefault="00475BB3" w:rsidP="003D721B">
            <w:pPr>
              <w:pStyle w:val="NoSpacing"/>
              <w:jc w:val="center"/>
            </w:pPr>
            <w:r>
              <w:t>S7 (A7)</w:t>
            </w:r>
          </w:p>
        </w:tc>
        <w:tc>
          <w:tcPr>
            <w:tcW w:w="2414" w:type="dxa"/>
            <w:tcBorders>
              <w:bottom w:val="single" w:sz="4" w:space="0" w:color="BFBFBF" w:themeColor="background1" w:themeShade="BF"/>
            </w:tcBorders>
          </w:tcPr>
          <w:p w:rsidR="00475BB3" w:rsidRDefault="00475BB3" w:rsidP="003D721B">
            <w:pPr>
              <w:pStyle w:val="NoSpacing"/>
              <w:jc w:val="center"/>
            </w:pPr>
            <w:r>
              <w:t>80</w:t>
            </w:r>
          </w:p>
        </w:tc>
        <w:tc>
          <w:tcPr>
            <w:tcW w:w="2403" w:type="dxa"/>
            <w:tcBorders>
              <w:bottom w:val="single" w:sz="4" w:space="0" w:color="BFBFBF" w:themeColor="background1" w:themeShade="BF"/>
            </w:tcBorders>
          </w:tcPr>
          <w:p w:rsidR="00475BB3" w:rsidRPr="00B10C37" w:rsidRDefault="00475BB3" w:rsidP="003D721B">
            <w:pPr>
              <w:pStyle w:val="NoSpacing"/>
              <w:jc w:val="center"/>
            </w:pPr>
            <w:r>
              <w:t>120</w:t>
            </w:r>
          </w:p>
        </w:tc>
        <w:tc>
          <w:tcPr>
            <w:tcW w:w="2130" w:type="dxa"/>
            <w:tcBorders>
              <w:bottom w:val="single" w:sz="4" w:space="0" w:color="BFBFBF" w:themeColor="background1" w:themeShade="BF"/>
            </w:tcBorders>
          </w:tcPr>
          <w:p w:rsidR="00475BB3" w:rsidRPr="00B10C37" w:rsidRDefault="00F22CEC" w:rsidP="003D721B">
            <w:pPr>
              <w:pStyle w:val="NoSpacing"/>
              <w:jc w:val="center"/>
            </w:pPr>
            <w:r>
              <w:t>0.6</w:t>
            </w:r>
          </w:p>
        </w:tc>
      </w:tr>
      <w:tr w:rsidR="00475BB3" w:rsidTr="00E63799">
        <w:tc>
          <w:tcPr>
            <w:tcW w:w="2403" w:type="dxa"/>
            <w:tcBorders>
              <w:bottom w:val="single" w:sz="4" w:space="0" w:color="auto"/>
            </w:tcBorders>
          </w:tcPr>
          <w:p w:rsidR="00475BB3" w:rsidRDefault="00475BB3" w:rsidP="003D721B">
            <w:pPr>
              <w:pStyle w:val="NoSpacing"/>
              <w:jc w:val="center"/>
            </w:pPr>
            <w:r>
              <w:t>S8 (A8)</w:t>
            </w:r>
          </w:p>
        </w:tc>
        <w:tc>
          <w:tcPr>
            <w:tcW w:w="2414" w:type="dxa"/>
            <w:tcBorders>
              <w:bottom w:val="single" w:sz="4" w:space="0" w:color="auto"/>
            </w:tcBorders>
          </w:tcPr>
          <w:p w:rsidR="00475BB3" w:rsidRDefault="00475BB3" w:rsidP="003D721B">
            <w:pPr>
              <w:pStyle w:val="NoSpacing"/>
              <w:jc w:val="center"/>
            </w:pPr>
            <w:r>
              <w:t>0</w:t>
            </w:r>
          </w:p>
        </w:tc>
        <w:tc>
          <w:tcPr>
            <w:tcW w:w="2403" w:type="dxa"/>
            <w:tcBorders>
              <w:bottom w:val="single" w:sz="4" w:space="0" w:color="auto"/>
            </w:tcBorders>
          </w:tcPr>
          <w:p w:rsidR="00475BB3" w:rsidRPr="00B10C37" w:rsidRDefault="00475BB3" w:rsidP="003D721B">
            <w:pPr>
              <w:pStyle w:val="NoSpacing"/>
              <w:jc w:val="center"/>
            </w:pPr>
            <w:r>
              <w:t>200</w:t>
            </w:r>
          </w:p>
        </w:tc>
        <w:tc>
          <w:tcPr>
            <w:tcW w:w="2130" w:type="dxa"/>
            <w:tcBorders>
              <w:bottom w:val="single" w:sz="4" w:space="0" w:color="auto"/>
            </w:tcBorders>
          </w:tcPr>
          <w:p w:rsidR="00475BB3" w:rsidRPr="00B10C37" w:rsidRDefault="00475BB3" w:rsidP="003D721B">
            <w:pPr>
              <w:pStyle w:val="NoSpacing"/>
              <w:jc w:val="center"/>
            </w:pPr>
            <w:r>
              <w:t>1</w:t>
            </w:r>
          </w:p>
        </w:tc>
      </w:tr>
    </w:tbl>
    <w:p w:rsidR="00475BB3" w:rsidRPr="006D6DAD" w:rsidRDefault="006D6DAD" w:rsidP="00475BB3">
      <w:pPr>
        <w:pStyle w:val="NoSpacing"/>
      </w:pPr>
      <w:r w:rsidRPr="006D6DAD">
        <w:rPr>
          <w:vertAlign w:val="superscript"/>
        </w:rPr>
        <w:t xml:space="preserve">a </w:t>
      </w:r>
      <w:r>
        <w:t>Can use the v</w:t>
      </w:r>
      <w:r w:rsidRPr="006D6DAD">
        <w:rPr>
          <w:vertAlign w:val="subscript"/>
        </w:rPr>
        <w:t>1</w:t>
      </w:r>
      <w:r>
        <w:t>c</w:t>
      </w:r>
      <w:r w:rsidRPr="006D6DAD">
        <w:rPr>
          <w:vertAlign w:val="subscript"/>
        </w:rPr>
        <w:t>1</w:t>
      </w:r>
      <w:r>
        <w:t>=v</w:t>
      </w:r>
      <w:r w:rsidRPr="006D6DAD">
        <w:rPr>
          <w:vertAlign w:val="subscript"/>
        </w:rPr>
        <w:t>2</w:t>
      </w:r>
      <w:r>
        <w:t>c</w:t>
      </w:r>
      <w:r w:rsidRPr="006D6DAD">
        <w:rPr>
          <w:vertAlign w:val="subscript"/>
        </w:rPr>
        <w:t>2</w:t>
      </w:r>
      <w:r w:rsidR="00D06772">
        <w:t xml:space="preserve"> equation </w:t>
      </w:r>
      <w:r>
        <w:t>to calculate other concentrations.</w:t>
      </w:r>
    </w:p>
    <w:p w:rsidR="006D6DAD" w:rsidRDefault="006D6DAD" w:rsidP="00475BB3">
      <w:pPr>
        <w:pStyle w:val="NoSpacing"/>
      </w:pPr>
    </w:p>
    <w:p w:rsidR="00475BB3" w:rsidRPr="00A019DD" w:rsidRDefault="00475BB3" w:rsidP="00475BB3">
      <w:pPr>
        <w:pStyle w:val="NoSpacing"/>
      </w:pPr>
      <w:r>
        <w:t xml:space="preserve">Note: A good standard curve should have </w:t>
      </w:r>
      <w:r w:rsidR="00286349">
        <w:t xml:space="preserve">an R-squared value of </w:t>
      </w:r>
      <w:r>
        <w:t xml:space="preserve">at least three 9’s </w:t>
      </w:r>
      <w:r w:rsidR="00286349">
        <w:t xml:space="preserve">or more </w:t>
      </w:r>
      <w:r>
        <w:t>(e.g. 0.999).</w:t>
      </w:r>
    </w:p>
    <w:p w:rsidR="00475BB3" w:rsidRDefault="00475BB3" w:rsidP="00475BB3">
      <w:pPr>
        <w:pStyle w:val="NoSpacing"/>
      </w:pPr>
    </w:p>
    <w:p w:rsidR="00757326" w:rsidRDefault="00421777" w:rsidP="00421777">
      <w:pPr>
        <w:pStyle w:val="NoSpacing"/>
      </w:pPr>
      <w:r>
        <w:t>7.2 Sample Layout Rules</w:t>
      </w:r>
      <w:r w:rsidR="00757326">
        <w:t>-of-thumb</w:t>
      </w:r>
    </w:p>
    <w:p w:rsidR="00757326" w:rsidRDefault="00757326" w:rsidP="00C753E3">
      <w:pPr>
        <w:pStyle w:val="NoSpacing"/>
        <w:numPr>
          <w:ilvl w:val="0"/>
          <w:numId w:val="8"/>
        </w:numPr>
      </w:pPr>
      <w:r>
        <w:t xml:space="preserve">As mentioned before, you should always run </w:t>
      </w:r>
      <w:r w:rsidR="00C753E3">
        <w:t xml:space="preserve">a standard curve on each plate. When planning to use the </w:t>
      </w:r>
      <w:r w:rsidR="00C753E3" w:rsidRPr="00C753E3">
        <w:t>malachite_calibration_Rscript</w:t>
      </w:r>
      <w:r w:rsidR="00C753E3">
        <w:t>.R script, we suggest you plan to place standards across the first row from left to right in slots A1-A12 (or A1-A8 if you use the standards suggested in Table 1).</w:t>
      </w:r>
    </w:p>
    <w:p w:rsidR="00C753E3" w:rsidRDefault="00C753E3" w:rsidP="00C753E3">
      <w:pPr>
        <w:pStyle w:val="NoSpacing"/>
        <w:numPr>
          <w:ilvl w:val="0"/>
          <w:numId w:val="8"/>
        </w:numPr>
      </w:pPr>
      <w:r>
        <w:t xml:space="preserve">If you are planning to use the </w:t>
      </w:r>
      <w:r w:rsidRPr="00C753E3">
        <w:t>malachite_calibration_Rscript</w:t>
      </w:r>
      <w:r>
        <w:t>.R script, we suggest organizing samples across rows from left to right rather than down columns</w:t>
      </w:r>
      <w:r w:rsidR="00582EAD">
        <w:t xml:space="preserve"> from top to bottom</w:t>
      </w:r>
      <w:r>
        <w:t>.</w:t>
      </w:r>
    </w:p>
    <w:p w:rsidR="00757326" w:rsidRDefault="00582EAD" w:rsidP="00757326">
      <w:pPr>
        <w:pStyle w:val="NoSpacing"/>
        <w:numPr>
          <w:ilvl w:val="0"/>
          <w:numId w:val="8"/>
        </w:numPr>
      </w:pPr>
      <w:r>
        <w:t>If possible, you’ll wa</w:t>
      </w:r>
      <w:r w:rsidR="00757326">
        <w:t>nt to try to fit all samples from a particular analysis on one plate so they share the same standard curve</w:t>
      </w:r>
      <w:r>
        <w:t>.</w:t>
      </w:r>
      <w:r w:rsidR="00757326">
        <w:t xml:space="preserve"> If </w:t>
      </w:r>
      <w:r>
        <w:t>you absolutely can</w:t>
      </w:r>
      <w:r w:rsidR="00757326">
        <w:t xml:space="preserve">not, it might be a good idea to repeat a few samples between the two or more plates </w:t>
      </w:r>
      <w:r>
        <w:t xml:space="preserve">or compare standard curves </w:t>
      </w:r>
      <w:r w:rsidR="00757326">
        <w:t>so you can account for the variation</w:t>
      </w:r>
      <w:r>
        <w:t xml:space="preserve"> between plates</w:t>
      </w:r>
      <w:r w:rsidR="00757326">
        <w:t>.</w:t>
      </w:r>
    </w:p>
    <w:p w:rsidR="00475BB3" w:rsidRDefault="00582EAD" w:rsidP="00757326">
      <w:pPr>
        <w:pStyle w:val="NoSpacing"/>
        <w:numPr>
          <w:ilvl w:val="0"/>
          <w:numId w:val="8"/>
        </w:numPr>
      </w:pPr>
      <w:r>
        <w:t>If possible, r</w:t>
      </w:r>
      <w:r w:rsidR="00757326">
        <w:t xml:space="preserve">un your samples in triplicate </w:t>
      </w:r>
      <w:r>
        <w:t xml:space="preserve">(i.e. have three technical replicates) </w:t>
      </w:r>
      <w:r w:rsidR="00757326">
        <w:t xml:space="preserve">to assess the variation of the plate reader. </w:t>
      </w:r>
      <w:r>
        <w:t>You</w:t>
      </w:r>
      <w:r w:rsidR="00397627">
        <w:t xml:space="preserve"> can typically fit four samples across a row (i.e. 12 columns divided by 3 </w:t>
      </w:r>
      <w:r>
        <w:t xml:space="preserve">replicates </w:t>
      </w:r>
      <w:r w:rsidR="00397627">
        <w:t>equals 4</w:t>
      </w:r>
      <w:r>
        <w:t xml:space="preserve"> samples</w:t>
      </w:r>
      <w:bookmarkStart w:id="0" w:name="_GoBack"/>
      <w:bookmarkEnd w:id="0"/>
      <w:r w:rsidR="00397627">
        <w:t xml:space="preserve">). </w:t>
      </w:r>
      <w:r w:rsidR="00757326">
        <w:t xml:space="preserve">Standards do not have to be run in triplicate. </w:t>
      </w:r>
    </w:p>
    <w:p w:rsidR="00397627" w:rsidRDefault="00757326" w:rsidP="00397627">
      <w:pPr>
        <w:pStyle w:val="NoSpacing"/>
        <w:numPr>
          <w:ilvl w:val="0"/>
          <w:numId w:val="8"/>
        </w:numPr>
      </w:pPr>
      <w:r>
        <w:t xml:space="preserve">See section </w:t>
      </w:r>
      <w:r w:rsidR="004069DE">
        <w:t xml:space="preserve">6 for help on </w:t>
      </w:r>
      <w:r w:rsidR="00397627">
        <w:t>diluting samples so they are within the sample range.</w:t>
      </w:r>
    </w:p>
    <w:p w:rsidR="00397627" w:rsidRDefault="00397627" w:rsidP="00397627">
      <w:pPr>
        <w:pStyle w:val="NoSpacing"/>
        <w:numPr>
          <w:ilvl w:val="0"/>
          <w:numId w:val="8"/>
        </w:numPr>
      </w:pPr>
      <w:r>
        <w:t>The final volume of each sample (and standard) well should be 200 ul.</w:t>
      </w:r>
    </w:p>
    <w:p w:rsidR="00397627" w:rsidRDefault="00397627" w:rsidP="00397627">
      <w:pPr>
        <w:pStyle w:val="NoSpacing"/>
        <w:numPr>
          <w:ilvl w:val="0"/>
          <w:numId w:val="8"/>
        </w:numPr>
      </w:pPr>
      <w:r>
        <w:t>It does not matter whether you add the water for dilution or the sample first, just be consistent so it is easy for you to remember where you are in the plate.</w:t>
      </w:r>
    </w:p>
    <w:p w:rsidR="00397627" w:rsidRDefault="00397627" w:rsidP="00397627">
      <w:pPr>
        <w:pStyle w:val="NoSpacing"/>
      </w:pPr>
    </w:p>
    <w:p w:rsidR="00397627" w:rsidRDefault="00421777" w:rsidP="00397627">
      <w:pPr>
        <w:pStyle w:val="NoSpacing"/>
      </w:pPr>
      <w:r>
        <w:t xml:space="preserve">7.3. </w:t>
      </w:r>
      <w:r w:rsidR="00397627">
        <w:t>Adding Reagents</w:t>
      </w:r>
      <w:r>
        <w:t xml:space="preserve"> and Analyzing Samples</w:t>
      </w:r>
    </w:p>
    <w:p w:rsidR="00397627" w:rsidRDefault="00397627" w:rsidP="00397627">
      <w:pPr>
        <w:pStyle w:val="NoSpacing"/>
        <w:numPr>
          <w:ilvl w:val="0"/>
          <w:numId w:val="11"/>
        </w:numPr>
      </w:pPr>
      <w:r>
        <w:t xml:space="preserve">Once you have added the </w:t>
      </w:r>
      <w:r w:rsidR="00421777">
        <w:t>standards and samples to the plate (200 ul in each well), add 40 ul of M1.</w:t>
      </w:r>
    </w:p>
    <w:p w:rsidR="00421777" w:rsidRDefault="00421777" w:rsidP="00397627">
      <w:pPr>
        <w:pStyle w:val="NoSpacing"/>
        <w:numPr>
          <w:ilvl w:val="0"/>
          <w:numId w:val="11"/>
        </w:numPr>
      </w:pPr>
      <w:r>
        <w:t>Wait 15 minutes.</w:t>
      </w:r>
    </w:p>
    <w:p w:rsidR="00421777" w:rsidRDefault="00421777" w:rsidP="00397627">
      <w:pPr>
        <w:pStyle w:val="NoSpacing"/>
        <w:numPr>
          <w:ilvl w:val="0"/>
          <w:numId w:val="11"/>
        </w:numPr>
      </w:pPr>
      <w:r>
        <w:t>Add 40 ul of M2. Pipette up and down several times to mix well. Be careful to avoid creating bubbles because you will have to remove all the bubbles you create before analyzing on the plate reader.</w:t>
      </w:r>
    </w:p>
    <w:p w:rsidR="00421777" w:rsidRDefault="00421777" w:rsidP="00397627">
      <w:pPr>
        <w:pStyle w:val="NoSpacing"/>
        <w:numPr>
          <w:ilvl w:val="0"/>
          <w:numId w:val="11"/>
        </w:numPr>
      </w:pPr>
      <w:r>
        <w:t>Wait 1 hour.</w:t>
      </w:r>
    </w:p>
    <w:p w:rsidR="00397627" w:rsidRDefault="00421777" w:rsidP="00397627">
      <w:pPr>
        <w:pStyle w:val="NoSpacing"/>
        <w:numPr>
          <w:ilvl w:val="0"/>
          <w:numId w:val="11"/>
        </w:numPr>
      </w:pPr>
      <w:r>
        <w:lastRenderedPageBreak/>
        <w:t>Read on the plate reader. Set absorbance to 630 nm and number of readings per well to 10.</w:t>
      </w:r>
    </w:p>
    <w:p w:rsidR="000F2304" w:rsidRDefault="000F2304" w:rsidP="000F2304">
      <w:pPr>
        <w:pStyle w:val="NoSpacing"/>
      </w:pPr>
    </w:p>
    <w:p w:rsidR="000F2304" w:rsidRDefault="000F2304" w:rsidP="000F2304">
      <w:pPr>
        <w:pStyle w:val="NoSpacing"/>
      </w:pPr>
      <w:r>
        <w:t>8. References</w:t>
      </w:r>
    </w:p>
    <w:p w:rsidR="000F2304" w:rsidRPr="00A019DD" w:rsidRDefault="00273883" w:rsidP="000F2304">
      <w:pPr>
        <w:pStyle w:val="NoSpacing"/>
      </w:pPr>
      <w:r>
        <w:t xml:space="preserve">Penny, C. L. 1976. A simple </w:t>
      </w:r>
      <w:r w:rsidR="0010050A">
        <w:t>micro-</w:t>
      </w:r>
      <w:r>
        <w:t>assay for</w:t>
      </w:r>
      <w:r w:rsidR="0010050A">
        <w:t xml:space="preserve"> inorganic phosphate. </w:t>
      </w:r>
      <w:r w:rsidR="0010050A" w:rsidRPr="0010050A">
        <w:rPr>
          <w:i/>
        </w:rPr>
        <w:t>Analytical Biochemistry</w:t>
      </w:r>
      <w:r w:rsidR="0010050A">
        <w:t>. 75:</w:t>
      </w:r>
      <w:r w:rsidR="0010050A" w:rsidRPr="0010050A">
        <w:t>201-210</w:t>
      </w:r>
      <w:r w:rsidR="0010050A">
        <w:t>.</w:t>
      </w:r>
      <w:r w:rsidR="0010050A" w:rsidRPr="0010050A">
        <w:t xml:space="preserve"> </w:t>
      </w:r>
      <w:r w:rsidR="0010050A" w:rsidRPr="0010050A">
        <w:cr/>
      </w:r>
      <w:r>
        <w:t xml:space="preserve"> </w:t>
      </w:r>
    </w:p>
    <w:sectPr w:rsidR="000F2304" w:rsidRPr="00A01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10E6"/>
    <w:multiLevelType w:val="hybridMultilevel"/>
    <w:tmpl w:val="E3DCE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3622C"/>
    <w:multiLevelType w:val="hybridMultilevel"/>
    <w:tmpl w:val="04F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B56AF"/>
    <w:multiLevelType w:val="hybridMultilevel"/>
    <w:tmpl w:val="6C2A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A2655"/>
    <w:multiLevelType w:val="hybridMultilevel"/>
    <w:tmpl w:val="A52E6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C654A"/>
    <w:multiLevelType w:val="hybridMultilevel"/>
    <w:tmpl w:val="7A9AFF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1B42C7"/>
    <w:multiLevelType w:val="hybridMultilevel"/>
    <w:tmpl w:val="11FA1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E2C0C"/>
    <w:multiLevelType w:val="hybridMultilevel"/>
    <w:tmpl w:val="24808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A259D"/>
    <w:multiLevelType w:val="hybridMultilevel"/>
    <w:tmpl w:val="61F8E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0636F"/>
    <w:multiLevelType w:val="hybridMultilevel"/>
    <w:tmpl w:val="0100D8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D46D00"/>
    <w:multiLevelType w:val="hybridMultilevel"/>
    <w:tmpl w:val="B126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E3494"/>
    <w:multiLevelType w:val="hybridMultilevel"/>
    <w:tmpl w:val="BB50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9"/>
  </w:num>
  <w:num w:numId="5">
    <w:abstractNumId w:val="3"/>
  </w:num>
  <w:num w:numId="6">
    <w:abstractNumId w:val="2"/>
  </w:num>
  <w:num w:numId="7">
    <w:abstractNumId w:val="0"/>
  </w:num>
  <w:num w:numId="8">
    <w:abstractNumId w:val="5"/>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C7"/>
    <w:rsid w:val="00005555"/>
    <w:rsid w:val="000107A3"/>
    <w:rsid w:val="000C03DA"/>
    <w:rsid w:val="000D37D8"/>
    <w:rsid w:val="000F2304"/>
    <w:rsid w:val="0010050A"/>
    <w:rsid w:val="001F49D7"/>
    <w:rsid w:val="0025058D"/>
    <w:rsid w:val="00273883"/>
    <w:rsid w:val="00286349"/>
    <w:rsid w:val="00295858"/>
    <w:rsid w:val="002D3485"/>
    <w:rsid w:val="00397627"/>
    <w:rsid w:val="004069DE"/>
    <w:rsid w:val="00421777"/>
    <w:rsid w:val="00451EBE"/>
    <w:rsid w:val="00475BB3"/>
    <w:rsid w:val="00563519"/>
    <w:rsid w:val="00582EAD"/>
    <w:rsid w:val="006C03C7"/>
    <w:rsid w:val="006D6DAD"/>
    <w:rsid w:val="006E7F65"/>
    <w:rsid w:val="00757326"/>
    <w:rsid w:val="007636E4"/>
    <w:rsid w:val="007B42C9"/>
    <w:rsid w:val="007F1CCD"/>
    <w:rsid w:val="008B6639"/>
    <w:rsid w:val="00A019DD"/>
    <w:rsid w:val="00A86CF5"/>
    <w:rsid w:val="00B10C37"/>
    <w:rsid w:val="00B71077"/>
    <w:rsid w:val="00BC1C39"/>
    <w:rsid w:val="00BF5CD2"/>
    <w:rsid w:val="00C6647C"/>
    <w:rsid w:val="00C753E3"/>
    <w:rsid w:val="00D06772"/>
    <w:rsid w:val="00DC31C0"/>
    <w:rsid w:val="00DC6E1F"/>
    <w:rsid w:val="00DF558A"/>
    <w:rsid w:val="00E14514"/>
    <w:rsid w:val="00E47F05"/>
    <w:rsid w:val="00E63799"/>
    <w:rsid w:val="00F22CEC"/>
    <w:rsid w:val="00F64106"/>
    <w:rsid w:val="00FB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D820"/>
  <w15:chartTrackingRefBased/>
  <w15:docId w15:val="{D3388748-208C-47E0-B935-8F1AF637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71C7"/>
    <w:pPr>
      <w:spacing w:after="0" w:line="240" w:lineRule="auto"/>
    </w:pPr>
  </w:style>
  <w:style w:type="character" w:styleId="Hyperlink">
    <w:name w:val="Hyperlink"/>
    <w:basedOn w:val="DefaultParagraphFont"/>
    <w:uiPriority w:val="99"/>
    <w:unhideWhenUsed/>
    <w:rsid w:val="00FB71C7"/>
    <w:rPr>
      <w:color w:val="0563C1" w:themeColor="hyperlink"/>
      <w:u w:val="single"/>
    </w:rPr>
  </w:style>
  <w:style w:type="table" w:styleId="TableGrid">
    <w:name w:val="Table Grid"/>
    <w:basedOn w:val="TableNormal"/>
    <w:uiPriority w:val="39"/>
    <w:rsid w:val="000C0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0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ms493@cornel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dc:creator>
  <cp:keywords/>
  <dc:description/>
  <cp:lastModifiedBy>sheila</cp:lastModifiedBy>
  <cp:revision>22</cp:revision>
  <dcterms:created xsi:type="dcterms:W3CDTF">2016-09-23T12:07:00Z</dcterms:created>
  <dcterms:modified xsi:type="dcterms:W3CDTF">2016-10-02T11:28:00Z</dcterms:modified>
</cp:coreProperties>
</file>