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/>
        <w:drawing>
          <wp:inline distB="0" distT="0" distL="0" distR="0">
            <wp:extent cx="2228850" cy="590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tl w:val="0"/>
        </w:rPr>
        <w:t xml:space="preserve">EVALUACIÓN INTEGRATIVA: FISIOPATOLOGÍA, FARMACOLOGÍA Y CUIDADOS DE ENFERMERÍA II 2026</w:t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Nombre de los integrantes: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u w:val="single"/>
        </w:rPr>
      </w:pPr>
      <w:r>
        <w:rPr>
          <w:u w:val="single"/>
          <w:rtl w:val="0"/>
        </w:rPr>
        <w:t xml:space="preserve">Situación clínica de Enfermería N°3</w:t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>
        <w:rPr>
          <w:rtl w:val="0"/>
        </w:rPr>
        <w:t xml:space="preserve">Paciente masculino de 66 años con antecedentes de hipertensión arterial, obesidad grado II (IMC 35 kg/m²) y tabaquismo crónico severo (IPA: 49), en tratamiento habitual con losartán 50 mg cada 12 horas y amlodipino 10 mg/día, al cual reporta adherencia irregular. Jubilado desde hace un año como conductor de transporte público, presenta una adaptación disfuncional al cese laboral con una red de apoyo limitada a su cónyuge.</w:t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>
        <w:rPr>
          <w:rtl w:val="0"/>
        </w:rPr>
        <w:t xml:space="preserve">La esposa del paciente refiere, visiblemente sobrecargada, una adherencia terapéutica y nutricional casi nula, agravada desde su jubilación. Describiría un cambio conductual severo, con un marcado ánimo depresivo, irritabilidad y un aislamiento social progresivo que él maneja incrementando su consumo de tabaco. Ella habría notado síntomas insidiosos semanas antes del cuadro agudo, como fatiga y tos, que el paciente minimizó. Finalmente, revelaría la tensión económica que dificulta el tratamiento y la fragilidad de su red de apoyo, situándola a ella como única cuidadora.</w:t>
      </w:r>
    </w:p>
    <w:p w:rsidR="00000000" w:rsidDel="00000000" w:rsidP="00000000" w:rsidRDefault="00000000" w:rsidRPr="00000000" w14:paraId="0000000A">
      <w:pPr>
        <w:spacing w:line="276" w:lineRule="auto"/>
        <w:jc w:val="both"/>
        <w:rPr/>
      </w:pPr>
      <w:r>
        <w:rPr>
          <w:rtl w:val="0"/>
        </w:rPr>
        <w:t xml:space="preserve">​Actualmente consulta por un cuadro de 6 días de evolución caracterizado por compromiso del estado general, fiebre, tos con expectoración mucopurulenta y disnea progresiva hasta hacerse de reposo. El cuadro se agrava en las últimas 24 horas por la aparición de dolor torácico de tipo pleurítico en hemitórax derecho, diaforesis profusa y adinamia marcada.</w:t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>
        <w:rPr>
          <w:rtl w:val="0"/>
        </w:rPr>
        <w:t xml:space="preserve">​Al ingreso, el paciente se presenta en mal estado general, somnoliento pero reactivo, orientado globalmente. 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u w:val="single"/>
        </w:rPr>
      </w:pPr>
      <w:r>
        <w:rPr>
          <w:u w:val="single"/>
          <w:rtl w:val="0"/>
        </w:rPr>
        <w:t xml:space="preserve">Examen físico general y segmentario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/>
      </w:pPr>
      <w:r>
        <w:rPr>
          <w:rtl w:val="0"/>
        </w:rPr>
        <w:t xml:space="preserve">Al ingreso, el paciente presenta los siguientes signos vitales: PA 170/95 mmHg, FC 122 lpm, FR 30 rpm, SpO₂ 85% al aire ambiente, motivo por el cual se inicia oxigenoterapia con máscara de Venturi al 35%, logrando saturación de 91%. Temperatura: 38.7 °C. Refiere dolor torácico tipo punzante en base pulmonar derecha, que aumenta con la inspiración profunda. HGT: 179 mg/dL.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/>
      </w:pPr>
      <w:r>
        <w:rPr>
          <w:rtl w:val="0"/>
        </w:rPr>
        <w:t xml:space="preserve">Se observa somnoliento pero orientado en tiempo, espacio y persona. Piel caliente y enrojecida, mucosas orales secas y signo de pliegue cutáneo positivo. Usa lentes ópticos y prótesis dental superior. Se evidencia fatigabilidad al hablar y disnea de reposo con uso de musculatura accesoria.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/>
      </w:pPr>
      <w:r>
        <w:rPr>
          <w:rtl w:val="0"/>
        </w:rPr>
        <w:t xml:space="preserve">La tos es efectiva, con expectoración mucopurulenta de moderada cantidad. A la auscultación pulmonar se identifican crépitos bilaterales y roncus en base pulmonar derecha, con murmullo pulmonar disminuido y dolor pleurítico persistente al tope inspiratorio.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/>
      </w:pPr>
      <w:r>
        <w:rPr>
          <w:rtl w:val="0"/>
        </w:rPr>
        <w:t xml:space="preserve">Llene capilar &lt; 2 segundos. Abdomen globuloso, distendido, con RHA presentes, sin dolor a la palpación. Región dorsal sin lesiones ni dolor al puño percusión. Extremidades inferiores sin hallazgos patológicos, con pulsos periféricos palpables y pies fríos al tacto.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/>
      </w:pPr>
      <w:r>
        <w:rPr>
          <w:rtl w:val="0"/>
        </w:rPr>
        <w:t xml:space="preserve">Diuresis escasa (150 ml al ingreso), concentrada. Refiere ausencia de deposiciones en los últimos dos días.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tl w:val="0"/>
        </w:rPr>
        <w:t xml:space="preserve">Peso: 100 kg — Talla: 1.69 m — IMC: 35</w:t>
        <w:br w:type="textWrapping"/>
        <w:t xml:space="preserve"> HGT: 176 mg/dL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heading=h.914ne4tuy73t" w:id="0"/>
      <w:bookmarkEnd w:id="0"/>
      <w:r>
        <w:rPr>
          <w:sz w:val="22"/>
          <w:szCs w:val="22"/>
          <w:rtl w:val="0"/>
        </w:rPr>
        <w:t xml:space="preserve">Exámenes de laboratorio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Leucocitos: 21.800 /mm³ (neutrofilia 90%)</w:t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  <w:t xml:space="preserve">PCR: 108 mg/L</w:t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  <w:t xml:space="preserve">Procalcitonina: 0.9 ng/mL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  <w:t xml:space="preserve">Na⁺: 132 mEq/L / K⁺: 4.7 mEq/L / Creatinina: 1.2 mg/dL / BUN: 26 mg/dL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  <w:t xml:space="preserve">Glucosa: 170 mg/dL / Albúmina: 3.2 g/dL</w:t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  <w:t xml:space="preserve">Gasometría (FiO₂ 0.21): pH 7.30 / PaCO₂ 54 / PaO₂ 68 / HCO₃⁻ 21 / SatO₂ 89%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  <w:t xml:space="preserve">Antígeno urinario para neumococo: positivo</w:t>
      </w:r>
    </w:p>
    <w:p w:rsidR="00000000" w:rsidDel="00000000" w:rsidP="00000000" w:rsidRDefault="00000000" w:rsidRPr="00000000" w14:paraId="0000001C">
      <w:pPr>
        <w:rPr/>
      </w:pPr>
      <w:r>
        <w:rPr>
          <w:b w:val="1"/>
          <w:rtl w:val="0"/>
        </w:rPr>
        <w:t xml:space="preserve">Radiografía de tórax</w:t>
      </w:r>
      <w:r>
        <w:rPr>
          <w:rtl w:val="0"/>
        </w:rPr>
        <w:t xml:space="preserve">: condensación en base pulmonar derecha con patrón alveolar bilateral compatible con NAC.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2"/>
          <w:szCs w:val="22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Diagnósticos médicos de ingreso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/>
      </w:pPr>
      <w:r>
        <w:rPr>
          <w:rtl w:val="0"/>
        </w:rPr>
        <w:t xml:space="preserve">Neumonía Adquirida en la Comunidad (NAC)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/>
      </w:pPr>
      <w:r>
        <w:rPr>
          <w:rtl w:val="0"/>
        </w:rPr>
        <w:t xml:space="preserve">Deshidratación leve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/>
      </w:pPr>
      <w:r>
        <w:rPr>
          <w:rtl w:val="0"/>
        </w:rPr>
        <w:t xml:space="preserve">Hipertensión arterial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rPr/>
      </w:pPr>
      <w:r>
        <w:rPr>
          <w:rtl w:val="0"/>
        </w:rPr>
        <w:t xml:space="preserve">Obesidad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heading=h.vnu04lbd3apv" w:id="1"/>
      <w:bookmarkEnd w:id="1"/>
      <w:r>
        <w:rPr>
          <w:sz w:val="22"/>
          <w:szCs w:val="22"/>
          <w:rtl w:val="0"/>
        </w:rPr>
        <w:t xml:space="preserve">Indicaciones médicas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>
        <w:rPr>
          <w:rtl w:val="0"/>
        </w:rPr>
        <w:t xml:space="preserve">-Control de signos vitales c/4 hrs</w:t>
        <w:br w:type="textWrapping"/>
        <w:t xml:space="preserve">-Reposo en posición semifowler</w:t>
        <w:br w:type="textWrapping"/>
        <w:t xml:space="preserve">-Oxígeno suplementario para mantener SatO₂ &gt; 92%</w:t>
        <w:br w:type="textWrapping"/>
        <w:t xml:space="preserve">-Régimen líquido a tolerancia</w:t>
        <w:br w:type="textWrapping"/>
        <w:t xml:space="preserve">-Nebulización con Berodual 1 ml + 3 ml SF c/4 h</w:t>
        <w:br w:type="textWrapping"/>
        <w:t xml:space="preserve">-Suero Fisiológico 2000 ml/24 h EV</w:t>
        <w:br w:type="textWrapping"/>
        <w:t xml:space="preserve">-Tomar cultivo de expectoración y hemocultivos</w:t>
        <w:br w:type="textWrapping"/>
        <w:t xml:space="preserve">-Iniciar antibiótico posterior a cultivos: Ceftriaxona 1 g EV c/12 h</w:t>
        <w:br w:type="textWrapping"/>
        <w:t xml:space="preserve">-Paracetamol 1 g EV c/8 h</w:t>
        <w:br w:type="textWrapping"/>
        <w:t xml:space="preserve">-Enoxaparina 40mg SC c/12 h</w:t>
        <w:br w:type="textWrapping"/>
        <w:t xml:space="preserve">-Kinesioterapia respiratoria diaria</w:t>
        <w:br w:type="textWrapping"/>
        <w:t xml:space="preserve">-Control de gases arteriales matinal</w:t>
        <w:br w:type="textWrapping"/>
      </w:r>
    </w:p>
    <w:sectPr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3yo2wX5EuzN68c/+lmM2IbvNA==">CgMxLjAyDmguOTE0bmU0dHV5NzN0Mg5oLnZudTA0bGJkM2FwdjgAciExUWg5LUtxLUY2cGppd1BrS05tcUFmc0Ixb19rSEV1Um0=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2024-10-18T20:27:00Z</dcterms:created>
</cp:coreProperties>
</file>