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jc w:val="center"/>
      </w:pPr>
      <w:r>
        <w:rPr>
          <w:rFonts w:ascii="Calibri" w:cs="Calibri" w:eastAsia="Calibri" w:hAnsi="Calibri"/>
          <w:b/>
          <w:bCs/>
          <w:sz w:val="21"/>
          <w:szCs w:val="21"/>
        </w:rPr>
        <w:t xml:space="preserve">EVALUACIÓN INTEGRATIVA: FISIOPATOLOGÍA, FARMACOLOGÍA Y CUIDADOS DE ENFERMERÍA II 2026</w:t>
      </w:r>
    </w:p>
    <w:p>
      <w:pPr>
        <w:spacing w:after="200" w:before="0" w:line="276"/>
        <w:jc w:val="center"/>
      </w:pPr>
      <w:r>
        <w:rPr>
          <w:rFonts w:ascii="Calibri" w:cs="Calibri" w:eastAsia="Calibri" w:hAnsi="Calibri"/>
          <w:b/>
          <w:bCs/>
          <w:sz w:val="26"/>
          <w:szCs w:val="26"/>
        </w:rPr>
        <w:t xml:space="preserve">Situación de Enfermería N°2</w:t>
      </w:r>
    </w:p>
    <w:p>
      <w:pPr>
        <w:spacing w:after="60" w:before="0" w:line="276"/>
        <w:jc w:val="left"/>
      </w:pPr>
      <w:r>
        <w:rPr>
          <w:rFonts w:ascii="Calibri" w:cs="Calibri" w:eastAsia="Calibri" w:hAnsi="Calibri"/>
          <w:sz w:val="22"/>
          <w:szCs w:val="22"/>
        </w:rPr>
        <w:t xml:space="preserve">Integrantes del grupo: ______________________________________________________________</w:t>
      </w:r>
    </w:p>
    <w:p>
      <w:pPr>
        <w:spacing w:after="120" w:before="0" w:line="276"/>
        <w:jc w:val="left"/>
      </w:pPr>
      <w:r>
        <w:rPr>
          <w:rFonts w:ascii="Calibri" w:cs="Calibri" w:eastAsia="Calibri" w:hAnsi="Calibri"/>
          <w:sz w:val="22"/>
          <w:szCs w:val="22"/>
        </w:rPr>
        <w:t xml:space="preserve">_____________________________________________________________________________________</w:t>
      </w:r>
    </w:p>
    <w:p>
      <w:pPr>
        <w:keepNext/>
        <w:keepLines/>
        <w:pBdr>
          <w:bottom w:val="single" w:color="A6A6A6" w:sz="6" w:space="2"/>
        </w:pBdr>
        <w:spacing w:after="120" w:before="240"/>
      </w:pPr>
      <w:r>
        <w:rPr>
          <w:rFonts w:ascii="Calibri" w:cs="Calibri" w:eastAsia="Calibri" w:hAnsi="Calibri"/>
          <w:b/>
          <w:bCs/>
          <w:sz w:val="23"/>
          <w:szCs w:val="23"/>
        </w:rPr>
        <w:t xml:space="preserve">1. Identificación del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Nombre</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María Soledad Arancibia Torres</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Sexo</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Femenino</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Edad</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58 años</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Previsión</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FONASA B</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Comuna</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Peñalolén, Región Metropolitana</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Ocupación</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Empleada de aseo en colegio particular subvencionado (jornada parcial)</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Estado civil</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Separada hace 8 años, buena relación con ex marido</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before="0"/>
            </w:pPr>
            <w:r>
              <w:rPr>
                <w:rFonts w:ascii="Calibri" w:cs="Calibri" w:eastAsia="Calibri" w:hAnsi="Calibri"/>
                <w:b/>
                <w:bCs/>
                <w:sz w:val="21"/>
                <w:szCs w:val="21"/>
              </w:rPr>
              <w:t xml:space="preserve">Escolaridad</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spacing w:after="0" w:before="0"/>
            </w:pPr>
            <w:r>
              <w:rPr>
                <w:rFonts w:ascii="Calibri" w:cs="Calibri" w:eastAsia="Calibri" w:hAnsi="Calibri"/>
                <w:sz w:val="21"/>
                <w:szCs w:val="21"/>
              </w:rPr>
              <w:t xml:space="preserve">Enseñanza media completa</w:t>
            </w:r>
          </w:p>
        </w:tc>
      </w:tr>
    </w:tbl>
    <w:p>
      <w:pPr>
        <w:keepNext/>
        <w:keepLines/>
        <w:pBdr>
          <w:bottom w:val="single" w:color="A6A6A6" w:sz="6" w:space="2"/>
        </w:pBdr>
        <w:spacing w:after="120" w:before="240"/>
      </w:pPr>
      <w:r>
        <w:rPr>
          <w:rFonts w:ascii="Calibri" w:cs="Calibri" w:eastAsia="Calibri" w:hAnsi="Calibri"/>
          <w:b/>
          <w:bCs/>
          <w:sz w:val="23"/>
          <w:szCs w:val="23"/>
        </w:rPr>
        <w:t xml:space="preserve">2. Antecedentes mórbidos, farmacológicos y hábitos</w:t>
      </w:r>
    </w:p>
    <w:p>
      <w:pPr>
        <w:spacing w:after="120" w:before="0" w:line="276"/>
        <w:jc w:val="both"/>
      </w:pPr>
      <w:r>
        <w:rPr>
          <w:rFonts w:ascii="Calibri" w:cs="Calibri" w:eastAsia="Calibri" w:hAnsi="Calibri"/>
          <w:sz w:val="22"/>
          <w:szCs w:val="22"/>
        </w:rPr>
        <w:t xml:space="preserve">Hipertensión arterial diagnosticada hace 15 años, tratada irregularmente con losartán 50 mg cada 12 horas y amlodipino 5 mg al día. Diabetes mellitus tipo 2 diagnosticada hace 10 años, en tratamiento con metformina 850 mg cada 12 horas y glibenclamida 5 mg al día. No presenta alergias medicamentosas conocidas; no fuma, no consume alcohol ni drogas.</w:t>
      </w:r>
    </w:p>
    <w:p>
      <w:pPr>
        <w:spacing w:after="120" w:before="0" w:line="276"/>
        <w:jc w:val="both"/>
      </w:pPr>
      <w:r>
        <w:rPr>
          <w:rFonts w:ascii="Calibri" w:cs="Calibri" w:eastAsia="Calibri" w:hAnsi="Calibri"/>
          <w:sz w:val="22"/>
          <w:szCs w:val="22"/>
        </w:rPr>
        <w:t xml:space="preserve">El año 2022 fue diagnosticada con enfermedad renal crónica estadio 4, secundaria a nefropatía diabética e hipertensiva, actualmente en control trimestral con nefrología; en su último control, hace 3 meses, presentaba creatinina plasmática de 2,0 mg/dL. Tiene indicaciones de restricción moderada de sal y líquidos, pero reconoce que "no siempre sigue la dieta", sobre todo cuando come fuera de casa.</w:t>
      </w:r>
    </w:p>
    <w:p>
      <w:pPr>
        <w:keepNext/>
        <w:keepLines/>
        <w:pBdr>
          <w:bottom w:val="single" w:color="A6A6A6" w:sz="6" w:space="2"/>
        </w:pBdr>
        <w:spacing w:after="120" w:before="240"/>
      </w:pPr>
      <w:r>
        <w:rPr>
          <w:rFonts w:ascii="Calibri" w:cs="Calibri" w:eastAsia="Calibri" w:hAnsi="Calibri"/>
          <w:b/>
          <w:bCs/>
          <w:sz w:val="23"/>
          <w:szCs w:val="23"/>
        </w:rPr>
        <w:t xml:space="preserve">3. Antecedentes familiares y sociales</w:t>
      </w:r>
    </w:p>
    <w:p>
      <w:pPr>
        <w:spacing w:after="120" w:before="0" w:line="276"/>
        <w:jc w:val="both"/>
      </w:pPr>
      <w:r>
        <w:rPr>
          <w:rFonts w:ascii="Calibri" w:cs="Calibri" w:eastAsia="Calibri" w:hAnsi="Calibri"/>
          <w:sz w:val="22"/>
          <w:szCs w:val="22"/>
        </w:rPr>
        <w:t xml:space="preserve">Vive en un departamento arrendado con su hija universitaria de 21 años, quien suele apoyarla en el cuidado y acompañamiento a controles médicos, pero últimamente, por la alta demanda de su carga académica, no ha podido acompañarla como quisiera. La hija, además, refiere que su madre "casi no hace caso" a lo que le dicen, por lo que ya dejó de insistirle.</w:t>
      </w:r>
    </w:p>
    <w:p>
      <w:pPr>
        <w:spacing w:after="120" w:before="0" w:line="276"/>
        <w:jc w:val="both"/>
      </w:pPr>
      <w:r>
        <w:rPr>
          <w:rFonts w:ascii="Calibri" w:cs="Calibri" w:eastAsia="Calibri" w:hAnsi="Calibri"/>
          <w:sz w:val="22"/>
          <w:szCs w:val="22"/>
        </w:rPr>
        <w:t xml:space="preserve">Refiere que su situación económica es ajustada, por lo que ocasionalmente acepta trabajos extras de aseo los fines de semana. Su red de apoyo es limitada al núcleo familiar cercano (una hermana que vive en otra comuna).</w:t>
      </w:r>
    </w:p>
    <w:p>
      <w:pPr>
        <w:spacing w:after="120" w:before="0" w:line="276"/>
        <w:jc w:val="both"/>
      </w:pPr>
      <w:r>
        <w:rPr>
          <w:rFonts w:ascii="Calibri" w:cs="Calibri" w:eastAsia="Calibri" w:hAnsi="Calibri"/>
          <w:sz w:val="22"/>
          <w:szCs w:val="22"/>
        </w:rPr>
        <w:t xml:space="preserve">Durante la entrevista se muestra colaboradora, pero preocupada por su salud y por la posibilidad de necesitar diálisis en el futuro. Comenta sentirse "cansada y con poca energía últimamente", lo que ha afectado su ánimo y asistencia laboral.</w:t>
      </w:r>
    </w:p>
    <w:p>
      <w:pPr>
        <w:keepNext/>
        <w:keepLines/>
        <w:pBdr>
          <w:bottom w:val="single" w:color="A6A6A6" w:sz="6" w:space="2"/>
        </w:pBdr>
        <w:spacing w:after="120" w:before="240"/>
      </w:pPr>
      <w:r>
        <w:rPr>
          <w:rFonts w:ascii="Calibri" w:cs="Calibri" w:eastAsia="Calibri" w:hAnsi="Calibri"/>
          <w:b/>
          <w:bCs/>
          <w:sz w:val="23"/>
          <w:szCs w:val="23"/>
        </w:rPr>
        <w:t xml:space="preserve">4. Historia de la enfermedad actual</w:t>
      </w:r>
    </w:p>
    <w:p>
      <w:pPr>
        <w:spacing w:after="120" w:before="0" w:line="276"/>
        <w:jc w:val="both"/>
      </w:pPr>
      <w:r>
        <w:rPr>
          <w:rFonts w:ascii="Calibri" w:cs="Calibri" w:eastAsia="Calibri" w:hAnsi="Calibri"/>
          <w:sz w:val="22"/>
          <w:szCs w:val="22"/>
        </w:rPr>
        <w:t xml:space="preserve">Refiere que hace una semana presentó cuadro de lumbalgia leve tras realizar labores domésticas intensas. Consultó en una farmacia del barrio donde vive y comenzó automedicación con ibuprofeno 600 mg cada 8 horas por 4 días, sin indicación médica. Posteriormente, presentó disminución progresiva de la diuresis, sensación de fatiga generalizada, cefalea, náuseas y pérdida del apetito.</w:t>
      </w:r>
    </w:p>
    <w:p>
      <w:pPr>
        <w:spacing w:after="120" w:before="0" w:line="276"/>
        <w:jc w:val="both"/>
      </w:pPr>
      <w:r>
        <w:rPr>
          <w:rFonts w:ascii="Calibri" w:cs="Calibri" w:eastAsia="Calibri" w:hAnsi="Calibri"/>
          <w:sz w:val="22"/>
          <w:szCs w:val="22"/>
        </w:rPr>
        <w:t xml:space="preserve">En los últimos tres días notó sequedad bucal, debilidad muscular, mareos al levantarse y menor frecuencia urinaria. Asiste a control en CESFAM, donde se constata hipotensión y signos de deshidratación, motivo por el cual es derivada al servicio de urgencias para evaluación médica, exámenes y tratamiento.</w:t>
      </w:r>
    </w:p>
    <w:p>
      <w:pPr>
        <w:keepNext/>
        <w:keepLines/>
        <w:pBdr>
          <w:bottom w:val="single" w:color="A6A6A6" w:sz="6" w:space="2"/>
        </w:pBdr>
        <w:spacing w:after="120" w:before="240"/>
      </w:pPr>
      <w:r>
        <w:rPr>
          <w:rFonts w:ascii="Calibri" w:cs="Calibri" w:eastAsia="Calibri" w:hAnsi="Calibri"/>
          <w:b/>
          <w:bCs/>
          <w:sz w:val="23"/>
          <w:szCs w:val="23"/>
        </w:rPr>
        <w:t xml:space="preserve">5. Examen físico general</w:t>
      </w:r>
    </w:p>
    <w:p>
      <w:pPr>
        <w:keepNext/>
        <w:spacing w:after="80" w:before="0" w:line="276"/>
        <w:jc w:val="both"/>
      </w:pPr>
      <w:r>
        <w:rPr>
          <w:rFonts w:ascii="Calibri" w:cs="Calibri" w:eastAsia="Calibri" w:hAnsi="Calibri"/>
          <w:b/>
          <w:bCs/>
          <w:sz w:val="22"/>
          <w:szCs w:val="22"/>
        </w:rPr>
        <w:t xml:space="preserve">Signos vitales al ingreso: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Presión arterial</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92/58 mmHg</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Frecuencia cardíaca</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112 lpm</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Frecuencia respiratoria</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22 rpm</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Temperatura</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36,4 °C</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Saturación O₂</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93 % ambiental</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HGT</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178 mg/dL</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before="0"/>
            </w:pPr>
            <w:r>
              <w:rPr>
                <w:rFonts w:ascii="Calibri" w:cs="Calibri" w:eastAsia="Calibri" w:hAnsi="Calibri"/>
                <w:b/>
                <w:bCs/>
                <w:sz w:val="21"/>
                <w:szCs w:val="21"/>
              </w:rPr>
              <w:t xml:space="preserve">Peso actual</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spacing w:after="0" w:before="0"/>
            </w:pPr>
            <w:r>
              <w:rPr>
                <w:rFonts w:ascii="Calibri" w:cs="Calibri" w:eastAsia="Calibri" w:hAnsi="Calibri"/>
                <w:sz w:val="21"/>
                <w:szCs w:val="21"/>
              </w:rPr>
              <w:t xml:space="preserve">64 kg</w:t>
            </w:r>
          </w:p>
        </w:tc>
      </w:tr>
    </w:tbl>
    <w:p>
      <w:pPr>
        <w:spacing w:after="120" w:before="0"/>
      </w:pPr>
    </w:p>
    <w:p>
      <w:pPr>
        <w:spacing w:after="120" w:before="0" w:line="276"/>
        <w:jc w:val="both"/>
      </w:pPr>
      <w:r>
        <w:rPr>
          <w:rFonts w:ascii="Calibri" w:cs="Calibri" w:eastAsia="Calibri" w:hAnsi="Calibri"/>
          <w:sz w:val="22"/>
          <w:szCs w:val="22"/>
        </w:rPr>
        <w:t xml:space="preserve">Paciente consciente, orientada parcialmente en tiempo, somnolienta pero cooperadora. Facie cansada, mucosas secas. Piel tibia, pálida, deshidratada.</w:t>
      </w:r>
    </w:p>
    <w:p>
      <w:pPr>
        <w:keepNext/>
        <w:keepLines/>
        <w:pBdr>
          <w:bottom w:val="single" w:color="A6A6A6" w:sz="6" w:space="2"/>
        </w:pBdr>
        <w:spacing w:after="120" w:before="240"/>
      </w:pPr>
      <w:r>
        <w:rPr>
          <w:rFonts w:ascii="Calibri" w:cs="Calibri" w:eastAsia="Calibri" w:hAnsi="Calibri"/>
          <w:b/>
          <w:bCs/>
          <w:sz w:val="23"/>
          <w:szCs w:val="23"/>
        </w:rPr>
        <w:t xml:space="preserve">6. Examen físico segmentario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Cabeza y cuello</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Pupilas isocóricas, reactivas. Sin ingurgitación yugular. Cavidad oral seca.</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Tórax</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Simétrico. Murmullo vesicular conservado, sin crépitos. Ruidos cardíacos rítmicos, taquicárdicos.</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Abdomen</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Blando, depresible, leve dolor en flanco derecho a la palpación profunda. RHA presentes. Sin masas palpables.</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Extremidades</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Pulsos periféricos presentes, llene capilar enlentecido. Leve edema (+) en ambos tobillos.</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keepNext w:val="false"/>
              <w:spacing w:after="0" w:before="0"/>
            </w:pPr>
            <w:r>
              <w:rPr>
                <w:rFonts w:ascii="Calibri" w:cs="Calibri" w:eastAsia="Calibri" w:hAnsi="Calibri"/>
                <w:b/>
                <w:bCs/>
                <w:sz w:val="21"/>
                <w:szCs w:val="21"/>
              </w:rPr>
              <w:t xml:space="preserve">Neurológico</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spacing w:after="0" w:before="0"/>
            </w:pPr>
            <w:r>
              <w:rPr>
                <w:rFonts w:ascii="Calibri" w:cs="Calibri" w:eastAsia="Calibri" w:hAnsi="Calibri"/>
                <w:sz w:val="21"/>
                <w:szCs w:val="21"/>
              </w:rPr>
              <w:t xml:space="preserve">Glasgow 14/15 (V4), reflejos conservados. Refiere mareos ocasionales.</w:t>
            </w:r>
          </w:p>
        </w:tc>
      </w:tr>
    </w:tbl>
    <w:p>
      <w:pPr>
        <w:keepNext/>
        <w:keepLines/>
        <w:pBdr>
          <w:bottom w:val="single" w:color="A6A6A6" w:sz="6" w:space="2"/>
        </w:pBdr>
        <w:spacing w:after="120" w:before="240"/>
      </w:pPr>
      <w:r>
        <w:rPr>
          <w:rFonts w:ascii="Calibri" w:cs="Calibri" w:eastAsia="Calibri" w:hAnsi="Calibri"/>
          <w:b/>
          <w:bCs/>
          <w:sz w:val="23"/>
          <w:szCs w:val="23"/>
        </w:rPr>
        <w:t xml:space="preserve">7. Exámenes de laboratorio e imágenes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Parámetro</w:t>
            </w:r>
          </w:p>
        </w:tc>
        <w:tc>
          <w:tcPr>
            <w:tcW w:type="dxa" w:w="636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Resultado</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Hematocrito</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32 %</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Hemoglobina</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10,2 g/dL</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BUN</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72 mg/dL</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Creatinina plasmática</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3,0 mg/dL</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Sodio plasmático</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133 mEq/L</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Potasio plasmático</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5,8 mEq/L</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Cloro plasmático</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96 mEq/L</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Calcio total</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8,1 mg/dL</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Fósforo</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5,2 mg/dL</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Albúmina sérica</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3,0 g/dL</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Gases arteriales</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pH 7,34 – PCO₂ 37 mmHg – PO₂ 88 mmHg – HCO₃⁻ 19 mEq/L</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b/>
                <w:bCs/>
                <w:sz w:val="21"/>
                <w:szCs w:val="21"/>
              </w:rPr>
              <w:t xml:space="preserve">Orina completa</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after="0" w:before="0"/>
            </w:pPr>
            <w:r>
              <w:rPr>
                <w:rFonts w:ascii="Calibri" w:cs="Calibri" w:eastAsia="Calibri" w:hAnsi="Calibri"/>
                <w:sz w:val="21"/>
                <w:szCs w:val="21"/>
              </w:rPr>
              <w:t xml:space="preserve">Densidad 1.015; proteínas (+); glucosa (+); cuerpos cetónicos (+); cilindros hialinos escasos.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spacing w:after="0" w:before="0"/>
            </w:pPr>
            <w:r>
              <w:rPr>
                <w:rFonts w:ascii="Calibri" w:cs="Calibri" w:eastAsia="Calibri" w:hAnsi="Calibri"/>
                <w:b/>
                <w:bCs/>
                <w:sz w:val="21"/>
                <w:szCs w:val="21"/>
              </w:rPr>
              <w:t xml:space="preserve">Electrocardiograma</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val="false"/>
              <w:spacing w:after="0" w:before="0"/>
            </w:pPr>
            <w:r>
              <w:rPr>
                <w:rFonts w:ascii="Calibri" w:cs="Calibri" w:eastAsia="Calibri" w:hAnsi="Calibri"/>
                <w:sz w:val="21"/>
                <w:szCs w:val="21"/>
              </w:rPr>
              <w:t xml:space="preserve">Taquicardia sinusal, sin alteraciones agudas.</w:t>
            </w:r>
          </w:p>
        </w:tc>
      </w:tr>
    </w:tbl>
    <w:p>
      <w:pPr>
        <w:keepNext/>
        <w:keepLines/>
        <w:pBdr>
          <w:bottom w:val="single" w:color="A6A6A6" w:sz="6" w:space="2"/>
        </w:pBdr>
        <w:spacing w:after="120" w:before="240"/>
      </w:pPr>
      <w:r>
        <w:rPr>
          <w:rFonts w:ascii="Calibri" w:cs="Calibri" w:eastAsia="Calibri" w:hAnsi="Calibri"/>
          <w:b/>
          <w:bCs/>
          <w:sz w:val="23"/>
          <w:szCs w:val="23"/>
        </w:rPr>
        <w:t xml:space="preserve">8. Diagnósticos médicos</w:t>
      </w:r>
    </w:p>
    <w:p>
      <w:pPr>
        <w:pStyle w:val="ListParagraph"/>
        <w:keepNext/>
        <w:numPr>
          <w:ilvl w:val="0"/>
          <w:numId w:val="2"/>
        </w:numPr>
        <w:spacing w:after="60" w:before="0" w:line="276"/>
        <w:jc w:val="both"/>
      </w:pPr>
      <w:r>
        <w:rPr>
          <w:rFonts w:ascii="Calibri" w:cs="Calibri" w:eastAsia="Calibri" w:hAnsi="Calibri"/>
          <w:sz w:val="22"/>
          <w:szCs w:val="22"/>
        </w:rPr>
        <w:t xml:space="preserve">Enfermedad renal crónica estadio 4 descompensada por deshidratación y uso de AINE.</w:t>
      </w:r>
    </w:p>
    <w:p>
      <w:pPr>
        <w:pStyle w:val="ListParagraph"/>
        <w:keepNext/>
        <w:numPr>
          <w:ilvl w:val="0"/>
          <w:numId w:val="2"/>
        </w:numPr>
        <w:spacing w:after="60" w:before="0" w:line="276"/>
        <w:jc w:val="both"/>
      </w:pPr>
      <w:r>
        <w:rPr>
          <w:rFonts w:ascii="Calibri" w:cs="Calibri" w:eastAsia="Calibri" w:hAnsi="Calibri"/>
          <w:sz w:val="22"/>
          <w:szCs w:val="22"/>
        </w:rPr>
        <w:t xml:space="preserve">Lesión renal aguda prerrenal sobre enfermedad renal crónica.</w:t>
      </w:r>
    </w:p>
    <w:p>
      <w:pPr>
        <w:pStyle w:val="ListParagraph"/>
        <w:keepNext/>
        <w:numPr>
          <w:ilvl w:val="0"/>
          <w:numId w:val="2"/>
        </w:numPr>
        <w:spacing w:after="60" w:before="0" w:line="276"/>
        <w:jc w:val="both"/>
      </w:pPr>
      <w:r>
        <w:rPr>
          <w:rFonts w:ascii="Calibri" w:cs="Calibri" w:eastAsia="Calibri" w:hAnsi="Calibri"/>
          <w:sz w:val="22"/>
          <w:szCs w:val="22"/>
        </w:rPr>
        <w:t xml:space="preserve">Hiperkalemia leve.</w:t>
      </w:r>
    </w:p>
    <w:p>
      <w:pPr>
        <w:pStyle w:val="ListParagraph"/>
        <w:keepNext w:val="false"/>
        <w:numPr>
          <w:ilvl w:val="0"/>
          <w:numId w:val="2"/>
        </w:numPr>
        <w:spacing w:after="60" w:before="0" w:line="276"/>
        <w:jc w:val="both"/>
      </w:pPr>
      <w:r>
        <w:rPr>
          <w:rFonts w:ascii="Calibri" w:cs="Calibri" w:eastAsia="Calibri" w:hAnsi="Calibri"/>
          <w:sz w:val="22"/>
          <w:szCs w:val="22"/>
        </w:rPr>
        <w:t xml:space="preserve">Deshidratación moderada.</w:t>
      </w:r>
    </w:p>
    <w:p>
      <w:pPr>
        <w:keepNext/>
        <w:keepLines/>
        <w:pBdr>
          <w:bottom w:val="single" w:color="A6A6A6" w:sz="6" w:space="2"/>
        </w:pBdr>
        <w:spacing w:after="120" w:before="240"/>
      </w:pPr>
      <w:r>
        <w:rPr>
          <w:rFonts w:ascii="Calibri" w:cs="Calibri" w:eastAsia="Calibri" w:hAnsi="Calibri"/>
          <w:b/>
          <w:bCs/>
          <w:sz w:val="23"/>
          <w:szCs w:val="23"/>
        </w:rPr>
        <w:t xml:space="preserve">9. Indicaciones médicas</w:t>
      </w:r>
    </w:p>
    <w:p>
      <w:pPr>
        <w:pStyle w:val="ListParagraph"/>
        <w:numPr>
          <w:ilvl w:val="0"/>
          <w:numId w:val="3"/>
        </w:numPr>
        <w:spacing w:after="60" w:before="0" w:line="276"/>
        <w:jc w:val="both"/>
      </w:pPr>
      <w:r>
        <w:rPr>
          <w:rFonts w:ascii="Calibri" w:cs="Calibri" w:eastAsia="Calibri" w:hAnsi="Calibri"/>
          <w:sz w:val="22"/>
          <w:szCs w:val="22"/>
        </w:rPr>
        <w:t xml:space="preserve">Ingreso a Unidad de Medicina Aguda.</w:t>
      </w:r>
    </w:p>
    <w:p>
      <w:pPr>
        <w:pStyle w:val="ListParagraph"/>
        <w:numPr>
          <w:ilvl w:val="0"/>
          <w:numId w:val="3"/>
        </w:numPr>
        <w:spacing w:after="60" w:before="0" w:line="276"/>
        <w:jc w:val="both"/>
      </w:pPr>
      <w:r>
        <w:rPr>
          <w:rFonts w:ascii="Calibri" w:cs="Calibri" w:eastAsia="Calibri" w:hAnsi="Calibri"/>
          <w:sz w:val="22"/>
          <w:szCs w:val="22"/>
        </w:rPr>
        <w:t xml:space="preserve">Régimen hipoproteico, hiposódico, pobre en potasio.</w:t>
      </w:r>
    </w:p>
    <w:p>
      <w:pPr>
        <w:pStyle w:val="ListParagraph"/>
        <w:numPr>
          <w:ilvl w:val="0"/>
          <w:numId w:val="3"/>
        </w:numPr>
        <w:spacing w:after="60" w:before="0" w:line="276"/>
        <w:jc w:val="both"/>
      </w:pPr>
      <w:r>
        <w:rPr>
          <w:rFonts w:ascii="Calibri" w:cs="Calibri" w:eastAsia="Calibri" w:hAnsi="Calibri"/>
          <w:sz w:val="22"/>
          <w:szCs w:val="22"/>
        </w:rPr>
        <w:t xml:space="preserve">Hidratación controlada con suero fisiológico 0,9 % a 50 mL/hora.</w:t>
      </w:r>
    </w:p>
    <w:p>
      <w:pPr>
        <w:pStyle w:val="ListParagraph"/>
        <w:numPr>
          <w:ilvl w:val="0"/>
          <w:numId w:val="3"/>
        </w:numPr>
        <w:spacing w:after="60" w:before="0" w:line="276"/>
        <w:jc w:val="both"/>
      </w:pPr>
      <w:r>
        <w:rPr>
          <w:rFonts w:ascii="Calibri" w:cs="Calibri" w:eastAsia="Calibri" w:hAnsi="Calibri"/>
          <w:sz w:val="22"/>
          <w:szCs w:val="22"/>
        </w:rPr>
        <w:t xml:space="preserve">Control de signos vitales cada 4 horas.</w:t>
      </w:r>
    </w:p>
    <w:p>
      <w:pPr>
        <w:pStyle w:val="ListParagraph"/>
        <w:numPr>
          <w:ilvl w:val="0"/>
          <w:numId w:val="3"/>
        </w:numPr>
        <w:spacing w:after="60" w:before="0" w:line="276"/>
        <w:jc w:val="both"/>
      </w:pPr>
      <w:r>
        <w:rPr>
          <w:rFonts w:ascii="Calibri" w:cs="Calibri" w:eastAsia="Calibri" w:hAnsi="Calibri"/>
          <w:sz w:val="22"/>
          <w:szCs w:val="22"/>
        </w:rPr>
        <w:t xml:space="preserve">Balance hídrico estricto cada 8 horas.</w:t>
      </w:r>
    </w:p>
    <w:p>
      <w:pPr>
        <w:pStyle w:val="ListParagraph"/>
        <w:numPr>
          <w:ilvl w:val="0"/>
          <w:numId w:val="3"/>
        </w:numPr>
        <w:spacing w:after="60" w:before="0" w:line="276"/>
        <w:jc w:val="both"/>
      </w:pPr>
      <w:r>
        <w:rPr>
          <w:rFonts w:ascii="Calibri" w:cs="Calibri" w:eastAsia="Calibri" w:hAnsi="Calibri"/>
          <w:sz w:val="22"/>
          <w:szCs w:val="22"/>
        </w:rPr>
        <w:t xml:space="preserve">Glicemia capilar cada 6 horas.</w:t>
      </w:r>
    </w:p>
    <w:p>
      <w:pPr>
        <w:pStyle w:val="ListParagraph"/>
        <w:numPr>
          <w:ilvl w:val="0"/>
          <w:numId w:val="3"/>
        </w:numPr>
        <w:spacing w:after="60" w:before="0" w:line="276"/>
        <w:jc w:val="both"/>
      </w:pPr>
      <w:r>
        <w:rPr>
          <w:rFonts w:ascii="Calibri" w:cs="Calibri" w:eastAsia="Calibri" w:hAnsi="Calibri"/>
          <w:sz w:val="22"/>
          <w:szCs w:val="22"/>
        </w:rPr>
        <w:t xml:space="preserve">Suspender AINE.</w:t>
      </w:r>
    </w:p>
    <w:p>
      <w:pPr>
        <w:pStyle w:val="ListParagraph"/>
        <w:numPr>
          <w:ilvl w:val="0"/>
          <w:numId w:val="3"/>
        </w:numPr>
        <w:spacing w:after="60" w:before="0" w:line="276"/>
        <w:jc w:val="both"/>
      </w:pPr>
      <w:r>
        <w:rPr>
          <w:rFonts w:ascii="Calibri" w:cs="Calibri" w:eastAsia="Calibri" w:hAnsi="Calibri"/>
          <w:sz w:val="22"/>
          <w:szCs w:val="22"/>
        </w:rPr>
        <w:t xml:space="preserve">Paracetamol 500 mg cada 8 horas VO si dolor.</w:t>
      </w:r>
    </w:p>
    <w:p>
      <w:pPr>
        <w:pStyle w:val="ListParagraph"/>
        <w:numPr>
          <w:ilvl w:val="0"/>
          <w:numId w:val="3"/>
        </w:numPr>
        <w:spacing w:after="60" w:before="0" w:line="276"/>
        <w:jc w:val="both"/>
      </w:pPr>
      <w:r>
        <w:rPr>
          <w:rFonts w:ascii="Calibri" w:cs="Calibri" w:eastAsia="Calibri" w:hAnsi="Calibri"/>
          <w:sz w:val="22"/>
          <w:szCs w:val="22"/>
        </w:rPr>
        <w:t xml:space="preserve">Continuar con losartán 50 mg cada 12 horas y amlodipino 5 mg al día.</w:t>
      </w:r>
    </w:p>
    <w:p>
      <w:pPr>
        <w:pStyle w:val="ListParagraph"/>
        <w:numPr>
          <w:ilvl w:val="0"/>
          <w:numId w:val="3"/>
        </w:numPr>
        <w:spacing w:after="60" w:before="0" w:line="276"/>
        <w:jc w:val="both"/>
      </w:pPr>
      <w:r>
        <w:rPr>
          <w:rFonts w:ascii="Calibri" w:cs="Calibri" w:eastAsia="Calibri" w:hAnsi="Calibri"/>
          <w:sz w:val="22"/>
          <w:szCs w:val="22"/>
        </w:rPr>
        <w:t xml:space="preserve">Suspender metformina temporalmente hasta reevaluación de función renal.</w:t>
      </w:r>
    </w:p>
    <w:p>
      <w:pPr>
        <w:pStyle w:val="ListParagraph"/>
        <w:numPr>
          <w:ilvl w:val="0"/>
          <w:numId w:val="3"/>
        </w:numPr>
        <w:spacing w:after="60" w:before="0" w:line="276"/>
        <w:jc w:val="both"/>
      </w:pPr>
      <w:r>
        <w:rPr>
          <w:rFonts w:ascii="Calibri" w:cs="Calibri" w:eastAsia="Calibri" w:hAnsi="Calibri"/>
          <w:sz w:val="22"/>
          <w:szCs w:val="22"/>
        </w:rPr>
        <w:t xml:space="preserve">Control de función renal y electrolitos diarios.</w:t>
      </w:r>
    </w:p>
    <w:p>
      <w:pPr>
        <w:pStyle w:val="ListParagraph"/>
        <w:numPr>
          <w:ilvl w:val="0"/>
          <w:numId w:val="3"/>
        </w:numPr>
        <w:spacing w:after="60" w:before="0" w:line="276"/>
        <w:jc w:val="both"/>
      </w:pPr>
      <w:r>
        <w:rPr>
          <w:rFonts w:ascii="Calibri" w:cs="Calibri" w:eastAsia="Calibri" w:hAnsi="Calibri"/>
          <w:sz w:val="22"/>
          <w:szCs w:val="22"/>
        </w:rPr>
        <w:t xml:space="preserve">Educación a paciente y familia sobre adherencia farmacológica, hidratación y riesgos del uso de medicamentos sin indicación médica.</w:t>
      </w:r>
    </w:p>
    <w:p>
      <w:pPr>
        <w:pStyle w:val="ListParagraph"/>
        <w:numPr>
          <w:ilvl w:val="0"/>
          <w:numId w:val="3"/>
        </w:numPr>
        <w:spacing w:after="60" w:before="0" w:line="276"/>
        <w:jc w:val="both"/>
      </w:pPr>
      <w:r>
        <w:rPr>
          <w:rFonts w:ascii="Calibri" w:cs="Calibri" w:eastAsia="Calibri" w:hAnsi="Calibri"/>
          <w:sz w:val="22"/>
          <w:szCs w:val="22"/>
        </w:rPr>
        <w:t xml:space="preserve">Reevaluación por nefrología en 48 horas.</w:t>
      </w:r>
    </w:p>
    <w:p>
      <w:pPr>
        <w:keepNext/>
        <w:keepLines/>
        <w:pBdr>
          <w:bottom w:val="single" w:color="A6A6A6" w:sz="6" w:space="2"/>
        </w:pBdr>
        <w:spacing w:after="120" w:before="240"/>
      </w:pPr>
      <w:r>
        <w:rPr>
          <w:rFonts w:ascii="Calibri" w:cs="Calibri" w:eastAsia="Calibri" w:hAnsi="Calibri"/>
          <w:b/>
          <w:bCs/>
          <w:sz w:val="23"/>
          <w:szCs w:val="23"/>
        </w:rPr>
        <w:t xml:space="preserve">10. Evolución</w:t>
      </w:r>
    </w:p>
    <w:p>
      <w:pPr>
        <w:spacing w:after="120" w:before="0" w:line="276"/>
        <w:jc w:val="both"/>
      </w:pPr>
      <w:r>
        <w:rPr>
          <w:rFonts w:ascii="Calibri" w:cs="Calibri" w:eastAsia="Calibri" w:hAnsi="Calibri"/>
          <w:sz w:val="22"/>
          <w:szCs w:val="22"/>
        </w:rPr>
        <w:t xml:space="preserve">Durante su primera noche de hospitalización evoluciona favorablemente, con leve mejoría del estado general tras la hidratación inicial. Se mantiene oligúrica, pero con tendencia a la normotensión. Se programa control de función renal, reevaluación por nefrología e inicio de la educación de autocuidado para el alta.</w:t>
      </w:r>
    </w:p>
    <w:sectPr>
      <w:headerReference w:type="default" r:id="rId7"/>
      <w:pgSz w:w="12240" w:h="15840" w:orient="portrait"/>
      <w:pgMar w:top="1300" w:right="1440" w:bottom="1080" w:left="1440" w:header="5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19050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05000" cy="5143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162ca4565ea1df0b039ccfce1fd6c56b11259a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Situación de Enfermería N°2 – 2026</dc:title>
  <dc:creator>Escuela de Enfermería UDP</dc:creator>
  <cp:lastModifiedBy>Un-named</cp:lastModifiedBy>
  <cp:revision>1</cp:revision>
  <dcterms:created xsi:type="dcterms:W3CDTF">2026-10-16T13:07:39.190Z</dcterms:created>
  <dcterms:modified xsi:type="dcterms:W3CDTF">2026-10-16T13:07:39.190Z</dcterms:modified>
</cp:coreProperties>
</file>

<file path=docProps/custom.xml><?xml version="1.0" encoding="utf-8"?>
<Properties xmlns="http://schemas.openxmlformats.org/officeDocument/2006/custom-properties" xmlns:vt="http://schemas.openxmlformats.org/officeDocument/2006/docPropsVTypes"/>
</file>