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 w:line="276"/>
        <w:jc w:val="center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EVALUACIÓN INTEGRATIVA: FISIOPATOLOGÍA, FARMACOLOGÍA Y CUIDADOS DE ENFERMERÍA II 2026</w:t>
      </w:r>
    </w:p>
    <w:p>
      <w:pPr>
        <w:spacing w:after="200" w:before="0" w:line="276"/>
        <w:jc w:val="center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Situación de Enfermería N°3</w:t>
      </w:r>
    </w:p>
    <w:p>
      <w:pPr>
        <w:spacing w:after="60" w:before="0" w:line="276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Integrantes del grupo: ______________________________________________________________</w:t>
      </w:r>
    </w:p>
    <w:p>
      <w:pPr>
        <w:spacing w:after="120" w:before="0" w:line="276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_____________________________________________________________________________________</w:t>
      </w:r>
    </w:p>
    <w:p>
      <w:pPr>
        <w:keepNext/>
        <w:keepLines/>
        <w:pBdr>
          <w:bottom w:val="single" w:color="A6A6A6" w:sz="6" w:space="2"/>
        </w:pBdr>
        <w:spacing w:after="120" w:before="24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1. Identificación del usuario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Sexo</w:t>
            </w:r>
          </w:p>
        </w:tc>
        <w:tc>
          <w:tcPr>
            <w:tcW w:type="dxa" w:w="6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Masculino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Edad</w:t>
            </w:r>
          </w:p>
        </w:tc>
        <w:tc>
          <w:tcPr>
            <w:tcW w:type="dxa" w:w="6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66 años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Ocupación</w:t>
            </w:r>
          </w:p>
        </w:tc>
        <w:tc>
          <w:tcPr>
            <w:tcW w:type="dxa" w:w="6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Jubilado hace un año (ex conductor de transporte público)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Estado civil</w:t>
            </w:r>
          </w:p>
        </w:tc>
        <w:tc>
          <w:tcPr>
            <w:tcW w:type="dxa" w:w="6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Casado</w:t>
            </w:r>
          </w:p>
        </w:tc>
      </w:tr>
    </w:tbl>
    <w:p>
      <w:pPr>
        <w:keepNext/>
        <w:keepLines/>
        <w:pBdr>
          <w:bottom w:val="single" w:color="A6A6A6" w:sz="6" w:space="2"/>
        </w:pBdr>
        <w:spacing w:after="120" w:before="24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2. Antecedentes mórbidos, farmacológicos y hábitos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Hipertensión arterial, obesidad grado II y tabaquismo crónico severo (IPA 49). Tratamiento habitual con losartán 50 mg cada 12 horas y amlodipino 10 mg al día, con adherencia irregular. Peso 100 kg, talla 1,69 m, IMC 35 kg/m².</w:t>
      </w:r>
    </w:p>
    <w:p>
      <w:pPr>
        <w:keepNext/>
        <w:keepLines/>
        <w:pBdr>
          <w:bottom w:val="single" w:color="A6A6A6" w:sz="6" w:space="2"/>
        </w:pBdr>
        <w:spacing w:after="120" w:before="24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3. Antecedentes familiares y sociales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Jubilado desde hace un año como conductor de transporte público, presenta una adaptación disfuncional al cese laboral, con una red de apoyo limitada a su cónyuge.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La esposa, visiblemente sobrecargada, refiere una adherencia terapéutica y nutricional casi nula, agravada desde la jubilación. Describe un cambio conductual severo, con marcado ánimo depresivo, irritabilidad y un aislamiento social progresivo que él maneja incrementando su consumo de tabaco. Ella notó síntomas insidiosos semanas antes del cuadro agudo, como fatiga y tos, que el paciente minimizó. Finalmente, relata la tensión económica que dificulta el tratamiento y la fragilidad de su red de apoyo, situándola a ella como única cuidadora.</w:t>
      </w:r>
    </w:p>
    <w:p>
      <w:pPr>
        <w:keepNext/>
        <w:keepLines/>
        <w:pBdr>
          <w:bottom w:val="single" w:color="A6A6A6" w:sz="6" w:space="2"/>
        </w:pBdr>
        <w:spacing w:after="120" w:before="24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4. Historia de la enfermedad actual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Consulta por un cuadro de 6 días de evolución caracterizado por compromiso del estado general, fiebre, tos con expectoración mucopurulenta y disnea progresiva hasta hacerse de reposo. El cuadro se agrava en las últimas 24 horas por la aparición de dolor torácico de tipo pleurítico en hemitórax derecho, diaforesis profusa y adinamia marcada.</w:t>
      </w:r>
    </w:p>
    <w:p>
      <w:pPr>
        <w:keepNext/>
        <w:keepLines/>
        <w:pBdr>
          <w:bottom w:val="single" w:color="A6A6A6" w:sz="6" w:space="2"/>
        </w:pBdr>
        <w:spacing w:after="120" w:before="24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5. Examen físico general</w:t>
      </w:r>
    </w:p>
    <w:p>
      <w:pPr>
        <w:keepNext/>
        <w:spacing w:after="80" w:before="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Signos vitales al ingreso: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Presión arterial</w:t>
            </w:r>
          </w:p>
        </w:tc>
        <w:tc>
          <w:tcPr>
            <w:tcW w:type="dxa" w:w="6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170/95 mmHg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Frecuencia cardíaca</w:t>
            </w:r>
          </w:p>
        </w:tc>
        <w:tc>
          <w:tcPr>
            <w:tcW w:type="dxa" w:w="6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122 lpm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Frecuencia respiratoria</w:t>
            </w:r>
          </w:p>
        </w:tc>
        <w:tc>
          <w:tcPr>
            <w:tcW w:type="dxa" w:w="6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30 rpm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Temperatura</w:t>
            </w:r>
          </w:p>
        </w:tc>
        <w:tc>
          <w:tcPr>
            <w:tcW w:type="dxa" w:w="6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38,7 °C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Saturación O₂</w:t>
            </w:r>
          </w:p>
        </w:tc>
        <w:tc>
          <w:tcPr>
            <w:tcW w:type="dxa" w:w="6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85 % ambiental; 91 % con máscara Venturi al 35 %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HGT</w:t>
            </w:r>
          </w:p>
        </w:tc>
        <w:tc>
          <w:tcPr>
            <w:tcW w:type="dxa" w:w="6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179 mg/dL</w:t>
            </w:r>
          </w:p>
        </w:tc>
      </w:tr>
    </w:tbl>
    <w:p>
      <w:pPr>
        <w:spacing w:after="120" w:before="0"/>
      </w:pP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Al ingreso se presenta en mal estado general, somnoliento pero reactivo, orientado en tiempo, espacio y persona. Por la saturación de 85 % ambiental se inicia oxigenoterapia con máscara Venturi al 35 %, logrando saturación de 91 %. Se evidencia fatigabilidad al hablar y disnea de reposo con uso de musculatura accesoria.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Piel caliente y enrojecida, mucosas orales secas y signo del pliegue cutáneo positivo. Llene capilar &lt; 2 segundos. Usa lentes ópticos y prótesis dental superior. Diuresis escasa (150 mL al ingreso), concentrada. Refiere ausencia de deposiciones en los últimos dos días.</w:t>
      </w:r>
    </w:p>
    <w:p>
      <w:pPr>
        <w:keepNext/>
        <w:keepLines/>
        <w:pBdr>
          <w:bottom w:val="single" w:color="A6A6A6" w:sz="6" w:space="2"/>
        </w:pBdr>
        <w:spacing w:after="120" w:before="24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6. Examen físico segmentario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Tórax</w:t>
            </w:r>
          </w:p>
        </w:tc>
        <w:tc>
          <w:tcPr>
            <w:tcW w:type="dxa" w:w="6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Refiere dolor torácico tipo punzante en base pulmonar derecha, que aumenta con la inspiración profunda. Tos efectiva, con expectoración mucopurulenta de moderada cantidad. A la auscultación, crépitos bilaterales y roncus en base pulmonar derecha, con murmullo pulmonar disminuido y dolor pleurítico persistente al tope inspiratorio.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Abdomen</w:t>
            </w:r>
          </w:p>
        </w:tc>
        <w:tc>
          <w:tcPr>
            <w:tcW w:type="dxa" w:w="6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Globuloso, distendido, RHA presentes, sin dolor a la palpación.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Región dorsal</w:t>
            </w:r>
          </w:p>
        </w:tc>
        <w:tc>
          <w:tcPr>
            <w:tcW w:type="dxa" w:w="6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Sin lesiones ni dolor a la puñopercusión.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Extremidades inferiores</w:t>
            </w:r>
          </w:p>
        </w:tc>
        <w:tc>
          <w:tcPr>
            <w:tcW w:type="dxa" w:w="6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Sin hallazgos patológicos, pulsos periféricos palpables, pies fríos al tacto.</w:t>
            </w:r>
          </w:p>
        </w:tc>
      </w:tr>
    </w:tbl>
    <w:p>
      <w:pPr>
        <w:keepNext/>
        <w:keepLines/>
        <w:pBdr>
          <w:bottom w:val="single" w:color="A6A6A6" w:sz="6" w:space="2"/>
        </w:pBdr>
        <w:spacing w:after="120" w:before="24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7. Exámenes de laboratorio e imágenes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Parámetro</w:t>
            </w:r>
          </w:p>
        </w:tc>
        <w:tc>
          <w:tcPr>
            <w:tcW w:type="dxa" w:w="6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Leucocitos</w:t>
            </w:r>
          </w:p>
        </w:tc>
        <w:tc>
          <w:tcPr>
            <w:tcW w:type="dxa" w:w="6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21.800/mm³ (neutrófilos 90 %)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PCR</w:t>
            </w:r>
          </w:p>
        </w:tc>
        <w:tc>
          <w:tcPr>
            <w:tcW w:type="dxa" w:w="6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108 mg/L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Procalcitonina</w:t>
            </w:r>
          </w:p>
        </w:tc>
        <w:tc>
          <w:tcPr>
            <w:tcW w:type="dxa" w:w="6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0,9 ng/mL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Sodio plasmático</w:t>
            </w:r>
          </w:p>
        </w:tc>
        <w:tc>
          <w:tcPr>
            <w:tcW w:type="dxa" w:w="6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132 mEq/L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Potasio plasmático</w:t>
            </w:r>
          </w:p>
        </w:tc>
        <w:tc>
          <w:tcPr>
            <w:tcW w:type="dxa" w:w="6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4,7 mEq/L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Creatinina plasmática</w:t>
            </w:r>
          </w:p>
        </w:tc>
        <w:tc>
          <w:tcPr>
            <w:tcW w:type="dxa" w:w="6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1,2 mg/dL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BUN</w:t>
            </w:r>
          </w:p>
        </w:tc>
        <w:tc>
          <w:tcPr>
            <w:tcW w:type="dxa" w:w="6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26 mg/dL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Glucosa</w:t>
            </w:r>
          </w:p>
        </w:tc>
        <w:tc>
          <w:tcPr>
            <w:tcW w:type="dxa" w:w="6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170 mg/dL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Albúmina sérica</w:t>
            </w:r>
          </w:p>
        </w:tc>
        <w:tc>
          <w:tcPr>
            <w:tcW w:type="dxa" w:w="6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3,2 g/dL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Gases arteriales (FiO₂ 0,21)</w:t>
            </w:r>
          </w:p>
        </w:tc>
        <w:tc>
          <w:tcPr>
            <w:tcW w:type="dxa" w:w="6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pH 7,30 – PaCO₂ 54 mmHg – PaO₂ 52 mmHg – HCO₃⁻ 26 mEq/L – SatO₂ 85 %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Antígeno urinario para neumococo</w:t>
            </w:r>
          </w:p>
        </w:tc>
        <w:tc>
          <w:tcPr>
            <w:tcW w:type="dxa" w:w="6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Positivo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Radiografía de tórax</w:t>
            </w:r>
          </w:p>
        </w:tc>
        <w:tc>
          <w:tcPr>
            <w:tcW w:type="dxa" w:w="6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Condensación en base pulmonar derecha con patrón alveolar bilateral, compatible con NAC.</w:t>
            </w:r>
          </w:p>
        </w:tc>
      </w:tr>
    </w:tbl>
    <w:p>
      <w:pPr>
        <w:keepNext/>
        <w:keepLines/>
        <w:pBdr>
          <w:bottom w:val="single" w:color="A6A6A6" w:sz="6" w:space="2"/>
        </w:pBdr>
        <w:spacing w:after="120" w:before="24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8. Diagnósticos médicos</w:t>
      </w:r>
    </w:p>
    <w:p>
      <w:pPr>
        <w:pStyle w:val="ListParagraph"/>
        <w:keepNext/>
        <w:numPr>
          <w:ilvl w:val="0"/>
          <w:numId w:val="2"/>
        </w:numPr>
        <w:spacing w:after="6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Neumonía adquirida en la comunidad (NAC).</w:t>
      </w:r>
    </w:p>
    <w:p>
      <w:pPr>
        <w:pStyle w:val="ListParagraph"/>
        <w:keepNext/>
        <w:numPr>
          <w:ilvl w:val="0"/>
          <w:numId w:val="2"/>
        </w:numPr>
        <w:spacing w:after="6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Deshidratación leve.</w:t>
      </w:r>
    </w:p>
    <w:p>
      <w:pPr>
        <w:pStyle w:val="ListParagraph"/>
        <w:keepNext/>
        <w:numPr>
          <w:ilvl w:val="0"/>
          <w:numId w:val="2"/>
        </w:numPr>
        <w:spacing w:after="6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Hipertensión arterial.</w:t>
      </w:r>
    </w:p>
    <w:p>
      <w:pPr>
        <w:pStyle w:val="ListParagraph"/>
        <w:keepNext w:val="false"/>
        <w:numPr>
          <w:ilvl w:val="0"/>
          <w:numId w:val="2"/>
        </w:numPr>
        <w:spacing w:after="6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Obesidad.</w:t>
      </w:r>
    </w:p>
    <w:p>
      <w:pPr>
        <w:keepNext/>
        <w:keepLines/>
        <w:pBdr>
          <w:bottom w:val="single" w:color="A6A6A6" w:sz="6" w:space="2"/>
        </w:pBdr>
        <w:spacing w:after="120" w:before="24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9. Indicaciones médicas</w:t>
      </w:r>
    </w:p>
    <w:p>
      <w:pPr>
        <w:pStyle w:val="ListParagraph"/>
        <w:numPr>
          <w:ilvl w:val="0"/>
          <w:numId w:val="3"/>
        </w:numPr>
        <w:spacing w:after="6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Control de signos vitales cada 4 horas.</w:t>
      </w:r>
    </w:p>
    <w:p>
      <w:pPr>
        <w:pStyle w:val="ListParagraph"/>
        <w:numPr>
          <w:ilvl w:val="0"/>
          <w:numId w:val="3"/>
        </w:numPr>
        <w:spacing w:after="6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Reposo en posición semi-Fowler.</w:t>
      </w:r>
    </w:p>
    <w:p>
      <w:pPr>
        <w:pStyle w:val="ListParagraph"/>
        <w:numPr>
          <w:ilvl w:val="0"/>
          <w:numId w:val="3"/>
        </w:numPr>
        <w:spacing w:after="6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Oxígeno suplementario para mantener SatO₂ &gt; 92 %.</w:t>
      </w:r>
    </w:p>
    <w:p>
      <w:pPr>
        <w:pStyle w:val="ListParagraph"/>
        <w:numPr>
          <w:ilvl w:val="0"/>
          <w:numId w:val="3"/>
        </w:numPr>
        <w:spacing w:after="6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Régimen líquido a tolerancia.</w:t>
      </w:r>
    </w:p>
    <w:p>
      <w:pPr>
        <w:pStyle w:val="ListParagraph"/>
        <w:numPr>
          <w:ilvl w:val="0"/>
          <w:numId w:val="3"/>
        </w:numPr>
        <w:spacing w:after="6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Nebulización con Berodual 1 mL + 3 mL de SF cada 4 horas.</w:t>
      </w:r>
    </w:p>
    <w:p>
      <w:pPr>
        <w:pStyle w:val="ListParagraph"/>
        <w:numPr>
          <w:ilvl w:val="0"/>
          <w:numId w:val="3"/>
        </w:numPr>
        <w:spacing w:after="6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Suero fisiológico 2.000 mL/24 horas EV.</w:t>
      </w:r>
    </w:p>
    <w:p>
      <w:pPr>
        <w:pStyle w:val="ListParagraph"/>
        <w:numPr>
          <w:ilvl w:val="0"/>
          <w:numId w:val="3"/>
        </w:numPr>
        <w:spacing w:after="6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Tomar cultivo de expectoración y hemocultivos.</w:t>
      </w:r>
    </w:p>
    <w:p>
      <w:pPr>
        <w:pStyle w:val="ListParagraph"/>
        <w:numPr>
          <w:ilvl w:val="0"/>
          <w:numId w:val="3"/>
        </w:numPr>
        <w:spacing w:after="6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Iniciar antibiótico posterior a cultivos: ceftriaxona 1 g EV cada 12 horas.</w:t>
      </w:r>
    </w:p>
    <w:p>
      <w:pPr>
        <w:pStyle w:val="ListParagraph"/>
        <w:numPr>
          <w:ilvl w:val="0"/>
          <w:numId w:val="3"/>
        </w:numPr>
        <w:spacing w:after="6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Paracetamol 1 g EV cada 8 horas.</w:t>
      </w:r>
    </w:p>
    <w:p>
      <w:pPr>
        <w:pStyle w:val="ListParagraph"/>
        <w:numPr>
          <w:ilvl w:val="0"/>
          <w:numId w:val="3"/>
        </w:numPr>
        <w:spacing w:after="6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Enoxaparina 40 mg SC cada 12 horas.</w:t>
      </w:r>
    </w:p>
    <w:p>
      <w:pPr>
        <w:pStyle w:val="ListParagraph"/>
        <w:numPr>
          <w:ilvl w:val="0"/>
          <w:numId w:val="3"/>
        </w:numPr>
        <w:spacing w:after="6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Kinesioterapia respiratoria diaria.</w:t>
      </w:r>
    </w:p>
    <w:p>
      <w:pPr>
        <w:pStyle w:val="ListParagraph"/>
        <w:numPr>
          <w:ilvl w:val="0"/>
          <w:numId w:val="3"/>
        </w:numPr>
        <w:spacing w:after="6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Control de gases arteriales matinal.</w:t>
      </w:r>
    </w:p>
    <w:p>
      <w:pPr>
        <w:pStyle w:val="ListParagraph"/>
        <w:numPr>
          <w:ilvl w:val="0"/>
          <w:numId w:val="3"/>
        </w:numPr>
        <w:spacing w:after="6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Control de glicemia capilar cada 6 horas.</w:t>
      </w:r>
    </w:p>
    <w:sectPr>
      <w:headerReference w:type="default" r:id="rId7"/>
      <w:pgSz w:w="12240" w:h="15840" w:orient="portrait"/>
      <w:pgMar w:top="1300" w:right="1440" w:bottom="1080" w:left="1440" w:header="500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inline distT="0" distB="0" distL="0" distR="0">
          <wp:extent cx="1905000" cy="5143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05000" cy="5143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162ca4565ea1df0b039ccfce1fd6c56b11259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Situación de Enfermería N°3 – 2026</dc:title>
  <dc:creator>Escuela de Enfermería UDP</dc:creator>
  <cp:lastModifiedBy>Un-named</cp:lastModifiedBy>
  <cp:revision>1</cp:revision>
  <dcterms:created xsi:type="dcterms:W3CDTF">2026-10-16T13:07:39.242Z</dcterms:created>
  <dcterms:modified xsi:type="dcterms:W3CDTF">2026-10-16T13:07:39.242Z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