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316EE7">
      <w:pPr>
        <w:spacing w:before="2000"/>
      </w:pPr>
    </w:p>
    <w:p w14:paraId="74396A99">
      <w:pPr>
        <w:jc w:val="center"/>
      </w:pPr>
      <w:r>
        <w:rPr>
          <w:rFonts w:ascii="Calibri" w:hAnsi="Calibri" w:eastAsia="Calibri" w:cs="Calibri"/>
          <w:b/>
          <w:bCs/>
          <w:color w:val="1F4E79"/>
          <w:sz w:val="72"/>
          <w:szCs w:val="72"/>
        </w:rPr>
        <w:t>HRMS</w:t>
      </w:r>
    </w:p>
    <w:p w14:paraId="783DEBAD">
      <w:pPr>
        <w:spacing w:after="200"/>
        <w:jc w:val="center"/>
      </w:pPr>
      <w:r>
        <w:rPr>
          <w:rFonts w:ascii="Calibri" w:hAnsi="Calibri" w:eastAsia="Calibri" w:cs="Calibri"/>
          <w:color w:val="2E75B6"/>
          <w:sz w:val="32"/>
          <w:szCs w:val="32"/>
        </w:rPr>
        <w:t>Human Resource Management System</w:t>
      </w:r>
    </w:p>
    <w:p w14:paraId="4A610F0B">
      <w:pPr>
        <w:pBdr>
          <w:top w:val="single" w:color="2E75B6" w:sz="12" w:space="0"/>
          <w:bottom w:val="single" w:color="2E75B6" w:sz="12" w:space="0"/>
        </w:pBdr>
        <w:spacing w:before="200" w:after="200"/>
        <w:jc w:val="center"/>
      </w:pPr>
      <w:r>
        <w:rPr>
          <w:rFonts w:ascii="Calibri" w:hAnsi="Calibri" w:eastAsia="Calibri" w:cs="Calibri"/>
          <w:b/>
          <w:bCs/>
          <w:color w:val="404040"/>
          <w:sz w:val="40"/>
          <w:szCs w:val="40"/>
        </w:rPr>
        <w:t>Solution Design Document</w:t>
      </w:r>
    </w:p>
    <w:p w14:paraId="1270172D">
      <w:pPr>
        <w:spacing w:before="400"/>
      </w:pPr>
    </w:p>
    <w:p w14:paraId="15793C05">
      <w:pPr>
        <w:spacing w:after="600"/>
        <w:jc w:val="center"/>
      </w:pPr>
      <w:r>
        <w:rPr>
          <w:i/>
          <w:iCs/>
          <w:color w:val="404040"/>
          <w:sz w:val="24"/>
          <w:szCs w:val="24"/>
        </w:rPr>
        <w:t>Custom ERP Application — Built from Scratch</w:t>
      </w:r>
    </w:p>
    <w:tbl>
      <w:tblPr>
        <w:tblStyle w:val="9"/>
        <w:tblW w:w="60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3500"/>
      </w:tblGrid>
      <w:tr w14:paraId="6CBC8802">
        <w:trPr>
          <w:jc w:val="center"/>
        </w:trPr>
        <w:tc>
          <w:tcPr>
            <w:tcW w:w="2500" w:type="dxa"/>
            <w:shd w:val="clear" w:color="auto" w:fill="1F4E79"/>
          </w:tcPr>
          <w:p w14:paraId="298629BC">
            <w:r>
              <w:rPr>
                <w:b/>
                <w:bCs/>
                <w:color w:val="FFFFFF"/>
                <w:sz w:val="20"/>
                <w:szCs w:val="20"/>
              </w:rPr>
              <w:t>Document Version</w:t>
            </w:r>
          </w:p>
        </w:tc>
        <w:tc>
          <w:tcPr>
            <w:tcW w:w="3500" w:type="dxa"/>
            <w:shd w:val="clear" w:color="auto" w:fill="D6E4F0"/>
          </w:tcPr>
          <w:p w14:paraId="1D1303D1">
            <w:r>
              <w:rPr>
                <w:color w:val="000000"/>
                <w:sz w:val="20"/>
                <w:szCs w:val="20"/>
              </w:rPr>
              <w:t>v1.0</w:t>
            </w:r>
          </w:p>
        </w:tc>
      </w:tr>
      <w:tr w14:paraId="2D5A573F">
        <w:trPr>
          <w:jc w:val="center"/>
        </w:trPr>
        <w:tc>
          <w:tcPr>
            <w:tcW w:w="2500" w:type="dxa"/>
            <w:shd w:val="clear" w:color="auto" w:fill="1F4E79"/>
          </w:tcPr>
          <w:p w14:paraId="4FC0CF7D">
            <w:r>
              <w:rPr>
                <w:b/>
                <w:bCs/>
                <w:color w:val="FFFFFF"/>
                <w:sz w:val="20"/>
                <w:szCs w:val="20"/>
              </w:rPr>
              <w:t>Prepared Date</w:t>
            </w:r>
          </w:p>
        </w:tc>
        <w:tc>
          <w:tcPr>
            <w:tcW w:w="3500" w:type="dxa"/>
            <w:shd w:val="clear" w:color="auto" w:fill="D6E4F0"/>
          </w:tcPr>
          <w:p w14:paraId="005A29E9">
            <w:r>
              <w:rPr>
                <w:color w:val="000000"/>
                <w:sz w:val="20"/>
                <w:szCs w:val="20"/>
              </w:rPr>
              <w:t>July 2026</w:t>
            </w:r>
          </w:p>
        </w:tc>
      </w:tr>
      <w:tr w14:paraId="35C8DB1E">
        <w:trPr>
          <w:jc w:val="center"/>
        </w:trPr>
        <w:tc>
          <w:tcPr>
            <w:tcW w:w="2500" w:type="dxa"/>
            <w:shd w:val="clear" w:color="auto" w:fill="1F4E79"/>
          </w:tcPr>
          <w:p w14:paraId="317E21CE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3500" w:type="dxa"/>
            <w:shd w:val="clear" w:color="auto" w:fill="D6E4F0"/>
          </w:tcPr>
          <w:p w14:paraId="3BBAEB3C">
            <w:r>
              <w:rPr>
                <w:color w:val="000000"/>
                <w:sz w:val="20"/>
                <w:szCs w:val="20"/>
              </w:rPr>
              <w:t>Draft — For Review</w:t>
            </w:r>
          </w:p>
        </w:tc>
      </w:tr>
      <w:tr w14:paraId="70D2DB3F">
        <w:trPr>
          <w:jc w:val="center"/>
        </w:trPr>
        <w:tc>
          <w:tcPr>
            <w:tcW w:w="2500" w:type="dxa"/>
            <w:shd w:val="clear" w:color="auto" w:fill="1F4E79"/>
          </w:tcPr>
          <w:p w14:paraId="12C0DE64">
            <w:r>
              <w:rPr>
                <w:b/>
                <w:bCs/>
                <w:color w:val="FFFFFF"/>
                <w:sz w:val="20"/>
                <w:szCs w:val="20"/>
              </w:rPr>
              <w:t>Classification</w:t>
            </w:r>
          </w:p>
        </w:tc>
        <w:tc>
          <w:tcPr>
            <w:tcW w:w="3500" w:type="dxa"/>
            <w:shd w:val="clear" w:color="auto" w:fill="D6E4F0"/>
          </w:tcPr>
          <w:p w14:paraId="609EB3C9">
            <w:r>
              <w:rPr>
                <w:color w:val="000000"/>
                <w:sz w:val="20"/>
                <w:szCs w:val="20"/>
              </w:rPr>
              <w:t>Confidential</w:t>
            </w:r>
          </w:p>
        </w:tc>
      </w:tr>
    </w:tbl>
    <w:p w14:paraId="6D94BE9D">
      <w:r>
        <w:br w:type="page"/>
      </w:r>
    </w:p>
    <w:sdt>
      <w:sdtPr>
        <w:rPr>
          <w:rFonts w:ascii="SimSun" w:hAnsi="SimSun" w:eastAsia="SimSun" w:cs="Calibri"/>
          <w:color w:val="000000"/>
          <w:sz w:val="21"/>
          <w:szCs w:val="20"/>
        </w:rPr>
        <w:id w:val="767361602"/>
        <w15:color w:val="DBDBDB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2DAEAE9F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default"/>
              <w:lang w:val="en-US"/>
            </w:rPr>
          </w:pPr>
          <w:r>
            <w:rPr>
              <w:rFonts w:hint="default" w:ascii="Calibri" w:hAnsi="Calibri" w:eastAsia="Calibri" w:cs="Calibri"/>
              <w:b/>
              <w:bCs/>
              <w:color w:val="1F4E79"/>
              <w:sz w:val="28"/>
              <w:szCs w:val="28"/>
              <w:lang w:val="en-US"/>
            </w:rPr>
            <w:t>Index</w:t>
          </w:r>
        </w:p>
        <w:p w14:paraId="47A7E877">
          <w:pPr>
            <w:pStyle w:val="19"/>
            <w:tabs>
              <w:tab w:val="right" w:leader="dot" w:pos="9360"/>
            </w:tabs>
            <w:rPr>
              <w:b/>
            </w:rPr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HYPERLINK \l _Toc1645137227 </w:instrText>
          </w:r>
          <w:r>
            <w:rPr>
              <w:b/>
            </w:rPr>
            <w:fldChar w:fldCharType="separate"/>
          </w:r>
          <w:r>
            <w:rPr>
              <w:b/>
            </w:rPr>
            <w:t>1. Executive Summary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_Toc1645137227 \h </w:instrText>
          </w:r>
          <w:r>
            <w:rPr>
              <w:b/>
            </w:rPr>
            <w:fldChar w:fldCharType="separate"/>
          </w:r>
          <w:r>
            <w:rPr>
              <w:b/>
            </w:rPr>
            <w:t>2</w:t>
          </w:r>
          <w:r>
            <w:rPr>
              <w:b/>
            </w:rPr>
            <w:fldChar w:fldCharType="end"/>
          </w:r>
          <w:r>
            <w:rPr>
              <w:b/>
            </w:rPr>
            <w:fldChar w:fldCharType="end"/>
          </w:r>
        </w:p>
        <w:p w14:paraId="502E62E6">
          <w:pPr>
            <w:pStyle w:val="19"/>
            <w:tabs>
              <w:tab w:val="right" w:leader="dot" w:pos="9360"/>
            </w:tabs>
            <w:rPr>
              <w:b/>
            </w:rPr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 HYPERLINK \l _Toc969419064 </w:instrText>
          </w:r>
          <w:r>
            <w:rPr>
              <w:b/>
            </w:rPr>
            <w:fldChar w:fldCharType="separate"/>
          </w:r>
          <w:r>
            <w:rPr>
              <w:b/>
            </w:rPr>
            <w:t>2. Project Scope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_Toc969419064 \h </w:instrText>
          </w:r>
          <w:r>
            <w:rPr>
              <w:b/>
            </w:rPr>
            <w:fldChar w:fldCharType="separate"/>
          </w:r>
          <w:r>
            <w:rPr>
              <w:b/>
            </w:rPr>
            <w:t>3</w:t>
          </w:r>
          <w:r>
            <w:rPr>
              <w:b/>
            </w:rPr>
            <w:fldChar w:fldCharType="end"/>
          </w:r>
          <w:r>
            <w:rPr>
              <w:b/>
            </w:rPr>
            <w:fldChar w:fldCharType="end"/>
          </w:r>
        </w:p>
        <w:p w14:paraId="61FD7546">
          <w:pPr>
            <w:pStyle w:val="2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_Toc67778859 </w:instrText>
          </w:r>
          <w:r>
            <w:fldChar w:fldCharType="separate"/>
          </w:r>
          <w:r>
            <w:t>2.1 In Scope</w:t>
          </w:r>
          <w:r>
            <w:tab/>
          </w:r>
          <w:r>
            <w:fldChar w:fldCharType="begin"/>
          </w:r>
          <w:r>
            <w:instrText xml:space="preserve"> PAGEREF _Toc67778859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75C5846">
          <w:pPr>
            <w:pStyle w:val="2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_Toc992950303 </w:instrText>
          </w:r>
          <w:r>
            <w:fldChar w:fldCharType="separate"/>
          </w:r>
          <w:r>
            <w:t>2.2 Out of Scope</w:t>
          </w:r>
          <w:r>
            <w:tab/>
          </w:r>
          <w:r>
            <w:fldChar w:fldCharType="begin"/>
          </w:r>
          <w:r>
            <w:instrText xml:space="preserve"> PAGEREF _Toc992950303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FFF69E0">
          <w:pPr>
            <w:pStyle w:val="2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_Toc420321684 </w:instrText>
          </w:r>
          <w:r>
            <w:fldChar w:fldCharType="separate"/>
          </w:r>
          <w:r>
            <w:t>2.3 Assumptions</w:t>
          </w:r>
          <w:r>
            <w:tab/>
          </w:r>
          <w:r>
            <w:fldChar w:fldCharType="begin"/>
          </w:r>
          <w:r>
            <w:instrText xml:space="preserve"> PAGEREF _Toc420321684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E190F8E">
          <w:pPr>
            <w:pStyle w:val="19"/>
            <w:tabs>
              <w:tab w:val="right" w:leader="dot" w:pos="9360"/>
            </w:tabs>
            <w:rPr>
              <w:b/>
            </w:rPr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 HYPERLINK \l _Toc1272828005 </w:instrText>
          </w:r>
          <w:r>
            <w:rPr>
              <w:b/>
            </w:rPr>
            <w:fldChar w:fldCharType="separate"/>
          </w:r>
          <w:r>
            <w:rPr>
              <w:b/>
            </w:rPr>
            <w:t>3. System Overview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_Toc1272828005 \h </w:instrText>
          </w:r>
          <w:r>
            <w:rPr>
              <w:b/>
            </w:rPr>
            <w:fldChar w:fldCharType="separate"/>
          </w:r>
          <w:r>
            <w:rPr>
              <w:b/>
            </w:rPr>
            <w:t>4</w:t>
          </w:r>
          <w:r>
            <w:rPr>
              <w:b/>
            </w:rPr>
            <w:fldChar w:fldCharType="end"/>
          </w:r>
          <w:r>
            <w:rPr>
              <w:b/>
            </w:rPr>
            <w:fldChar w:fldCharType="end"/>
          </w:r>
        </w:p>
        <w:p w14:paraId="31EF6CBD">
          <w:pPr>
            <w:pStyle w:val="2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_Toc1335672268 </w:instrText>
          </w:r>
          <w:r>
            <w:fldChar w:fldCharType="separate"/>
          </w:r>
          <w:r>
            <w:t>3.1 High-Level Module Map</w:t>
          </w:r>
          <w:r>
            <w:tab/>
          </w:r>
          <w:r>
            <w:fldChar w:fldCharType="begin"/>
          </w:r>
          <w:r>
            <w:instrText xml:space="preserve"> PAGEREF _Toc1335672268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426485B">
          <w:pPr>
            <w:pStyle w:val="19"/>
            <w:tabs>
              <w:tab w:val="right" w:leader="dot" w:pos="9360"/>
            </w:tabs>
            <w:rPr>
              <w:b/>
            </w:rPr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 HYPERLINK \l _Toc997246185 </w:instrText>
          </w:r>
          <w:r>
            <w:rPr>
              <w:b/>
            </w:rPr>
            <w:fldChar w:fldCharType="separate"/>
          </w:r>
          <w:r>
            <w:rPr>
              <w:b/>
            </w:rPr>
            <w:t>4. Functional Module Specifications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_Toc997246185 \h </w:instrText>
          </w:r>
          <w:r>
            <w:rPr>
              <w:b/>
            </w:rPr>
            <w:fldChar w:fldCharType="separate"/>
          </w:r>
          <w:r>
            <w:rPr>
              <w:b/>
            </w:rPr>
            <w:t>5</w:t>
          </w:r>
          <w:r>
            <w:rPr>
              <w:b/>
            </w:rPr>
            <w:fldChar w:fldCharType="end"/>
          </w:r>
          <w:r>
            <w:rPr>
              <w:b/>
            </w:rPr>
            <w:fldChar w:fldCharType="end"/>
          </w:r>
        </w:p>
        <w:p w14:paraId="67AF8E77">
          <w:pPr>
            <w:pStyle w:val="2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_Toc1754250107 </w:instrText>
          </w:r>
          <w:r>
            <w:fldChar w:fldCharType="separate"/>
          </w:r>
          <w:r>
            <w:t>4.1 Employee Master</w:t>
          </w:r>
          <w:r>
            <w:tab/>
          </w:r>
          <w:r>
            <w:fldChar w:fldCharType="begin"/>
          </w:r>
          <w:r>
            <w:instrText xml:space="preserve"> PAGEREF _Toc1754250107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3E2D09A">
          <w:pPr>
            <w:pStyle w:val="2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_Toc878558686 </w:instrText>
          </w:r>
          <w:r>
            <w:fldChar w:fldCharType="separate"/>
          </w:r>
          <w:r>
            <w:t>4.2 Base Professional Value (BPV) Engine</w:t>
          </w:r>
          <w:r>
            <w:tab/>
          </w:r>
          <w:r>
            <w:fldChar w:fldCharType="begin"/>
          </w:r>
          <w:r>
            <w:instrText xml:space="preserve"> PAGEREF _Toc878558686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7FC594B">
          <w:pPr>
            <w:pStyle w:val="2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_Toc1985762477 </w:instrText>
          </w:r>
          <w:r>
            <w:fldChar w:fldCharType="separate"/>
          </w:r>
          <w:r>
            <w:t>4.3 Outcome-Based Task and Time Reporting</w:t>
          </w:r>
          <w:r>
            <w:tab/>
          </w:r>
          <w:r>
            <w:fldChar w:fldCharType="begin"/>
          </w:r>
          <w:r>
            <w:instrText xml:space="preserve"> PAGEREF _Toc1985762477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C1B707B">
          <w:pPr>
            <w:pStyle w:val="2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_Toc666592912 </w:instrText>
          </w:r>
          <w:r>
            <w:fldChar w:fldCharType="separate"/>
          </w:r>
          <w:r>
            <w:t>4.4 Dual-Component Salary Structure</w:t>
          </w:r>
          <w:r>
            <w:tab/>
          </w:r>
          <w:r>
            <w:fldChar w:fldCharType="begin"/>
          </w:r>
          <w:r>
            <w:instrText xml:space="preserve"> PAGEREF _Toc666592912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A94B92C">
          <w:pPr>
            <w:pStyle w:val="2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_Toc4885585 </w:instrText>
          </w:r>
          <w:r>
            <w:fldChar w:fldCharType="separate"/>
          </w:r>
          <w:r>
            <w:t>4.5 Efficiency Evaluation</w:t>
          </w:r>
          <w:r>
            <w:tab/>
          </w:r>
          <w:r>
            <w:fldChar w:fldCharType="begin"/>
          </w:r>
          <w:r>
            <w:instrText xml:space="preserve"> PAGEREF _Toc4885585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3F125BC">
          <w:pPr>
            <w:pStyle w:val="2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_Toc507648509 </w:instrText>
          </w:r>
          <w:r>
            <w:fldChar w:fldCharType="separate"/>
          </w:r>
          <w:r>
            <w:t>4.6 Employee Data Ownership Registry</w:t>
          </w:r>
          <w:r>
            <w:tab/>
          </w:r>
          <w:r>
            <w:fldChar w:fldCharType="begin"/>
          </w:r>
          <w:r>
            <w:instrText xml:space="preserve"> PAGEREF _Toc507648509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399E54B">
          <w:pPr>
            <w:pStyle w:val="2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_Toc95961232 </w:instrText>
          </w:r>
          <w:r>
            <w:fldChar w:fldCharType="separate"/>
          </w:r>
          <w:r>
            <w:t>4.7 Documentation Compliance Management</w:t>
          </w:r>
          <w:r>
            <w:tab/>
          </w:r>
          <w:r>
            <w:fldChar w:fldCharType="begin"/>
          </w:r>
          <w:r>
            <w:instrText xml:space="preserve"> PAGEREF _Toc95961232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587BAAD3">
          <w:pPr>
            <w:pStyle w:val="2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_Toc60207327 </w:instrText>
          </w:r>
          <w:r>
            <w:fldChar w:fldCharType="separate"/>
          </w:r>
          <w:r>
            <w:t>4.8 Long-Term Reward and Royalty Management</w:t>
          </w:r>
          <w:r>
            <w:tab/>
          </w:r>
          <w:r>
            <w:fldChar w:fldCharType="begin"/>
          </w:r>
          <w:r>
            <w:instrText xml:space="preserve"> PAGEREF _Toc60207327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7DC71D72">
          <w:pPr>
            <w:pStyle w:val="2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_Toc439747152 </w:instrText>
          </w:r>
          <w:r>
            <w:fldChar w:fldCharType="separate"/>
          </w:r>
          <w:r>
            <w:t>4.9 Beneficiary Management</w:t>
          </w:r>
          <w:r>
            <w:tab/>
          </w:r>
          <w:r>
            <w:fldChar w:fldCharType="begin"/>
          </w:r>
          <w:r>
            <w:instrText xml:space="preserve"> PAGEREF _Toc439747152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14D24155">
          <w:pPr>
            <w:pStyle w:val="19"/>
            <w:tabs>
              <w:tab w:val="right" w:leader="dot" w:pos="9360"/>
            </w:tabs>
            <w:rPr>
              <w:b/>
            </w:rPr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 HYPERLINK \l _Toc1339154337 </w:instrText>
          </w:r>
          <w:r>
            <w:rPr>
              <w:b/>
            </w:rPr>
            <w:fldChar w:fldCharType="separate"/>
          </w:r>
          <w:r>
            <w:rPr>
              <w:b/>
            </w:rPr>
            <w:t>5. Non-Functional Requirements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_Toc1339154337 \h </w:instrText>
          </w:r>
          <w:r>
            <w:rPr>
              <w:b/>
            </w:rPr>
            <w:fldChar w:fldCharType="separate"/>
          </w:r>
          <w:r>
            <w:rPr>
              <w:b/>
            </w:rPr>
            <w:t>14</w:t>
          </w:r>
          <w:r>
            <w:rPr>
              <w:b/>
            </w:rPr>
            <w:fldChar w:fldCharType="end"/>
          </w:r>
          <w:r>
            <w:rPr>
              <w:b/>
            </w:rPr>
            <w:fldChar w:fldCharType="end"/>
          </w:r>
        </w:p>
        <w:p w14:paraId="79B7364A">
          <w:pPr>
            <w:pStyle w:val="2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_Toc1538321399 </w:instrText>
          </w:r>
          <w:r>
            <w:fldChar w:fldCharType="separate"/>
          </w:r>
          <w:r>
            <w:t>5.1 Security</w:t>
          </w:r>
          <w:r>
            <w:tab/>
          </w:r>
          <w:r>
            <w:fldChar w:fldCharType="begin"/>
          </w:r>
          <w:r>
            <w:instrText xml:space="preserve"> PAGEREF _Toc1538321399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2E0002A8">
          <w:pPr>
            <w:pStyle w:val="2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_Toc1012126760 </w:instrText>
          </w:r>
          <w:r>
            <w:fldChar w:fldCharType="separate"/>
          </w:r>
          <w:r>
            <w:t>5.2 Performance</w:t>
          </w:r>
          <w:r>
            <w:tab/>
          </w:r>
          <w:r>
            <w:fldChar w:fldCharType="begin"/>
          </w:r>
          <w:r>
            <w:instrText xml:space="preserve"> PAGEREF _Toc1012126760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72B5D202">
          <w:pPr>
            <w:pStyle w:val="2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_Toc596487433 </w:instrText>
          </w:r>
          <w:r>
            <w:fldChar w:fldCharType="separate"/>
          </w:r>
          <w:r>
            <w:t>5.3 Scalability</w:t>
          </w:r>
          <w:r>
            <w:tab/>
          </w:r>
          <w:r>
            <w:fldChar w:fldCharType="begin"/>
          </w:r>
          <w:r>
            <w:instrText xml:space="preserve"> PAGEREF _Toc596487433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56C2BA1A">
          <w:pPr>
            <w:pStyle w:val="2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_Toc710622235 </w:instrText>
          </w:r>
          <w:r>
            <w:fldChar w:fldCharType="separate"/>
          </w:r>
          <w:r>
            <w:t>5.4 Configurability</w:t>
          </w:r>
          <w:r>
            <w:tab/>
          </w:r>
          <w:r>
            <w:fldChar w:fldCharType="begin"/>
          </w:r>
          <w:r>
            <w:instrText xml:space="preserve"> PAGEREF _Toc710622235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1F8C4ECC">
          <w:pPr>
            <w:pStyle w:val="2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_Toc1271342678 </w:instrText>
          </w:r>
          <w:r>
            <w:fldChar w:fldCharType="separate"/>
          </w:r>
          <w:r>
            <w:t>5.5 Data Integrity</w:t>
          </w:r>
          <w:r>
            <w:tab/>
          </w:r>
          <w:r>
            <w:fldChar w:fldCharType="begin"/>
          </w:r>
          <w:r>
            <w:instrText xml:space="preserve"> PAGEREF _Toc1271342678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0B606958">
          <w:pPr>
            <w:pStyle w:val="19"/>
            <w:tabs>
              <w:tab w:val="right" w:leader="dot" w:pos="9360"/>
            </w:tabs>
            <w:rPr>
              <w:b/>
            </w:rPr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 HYPERLINK \l _Toc2141585143 </w:instrText>
          </w:r>
          <w:r>
            <w:rPr>
              <w:b/>
            </w:rPr>
            <w:fldChar w:fldCharType="separate"/>
          </w:r>
          <w:r>
            <w:rPr>
              <w:b/>
            </w:rPr>
            <w:t>6. User Roles and Access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_Toc2141585143 \h </w:instrText>
          </w:r>
          <w:r>
            <w:rPr>
              <w:b/>
            </w:rPr>
            <w:fldChar w:fldCharType="separate"/>
          </w:r>
          <w:r>
            <w:rPr>
              <w:b/>
            </w:rPr>
            <w:t>15</w:t>
          </w:r>
          <w:r>
            <w:rPr>
              <w:b/>
            </w:rPr>
            <w:fldChar w:fldCharType="end"/>
          </w:r>
          <w:r>
            <w:rPr>
              <w:b/>
            </w:rPr>
            <w:fldChar w:fldCharType="end"/>
          </w:r>
        </w:p>
        <w:p w14:paraId="265E4C23">
          <w:pPr>
            <w:pStyle w:val="19"/>
            <w:tabs>
              <w:tab w:val="right" w:leader="dot" w:pos="9360"/>
            </w:tabs>
            <w:rPr>
              <w:b/>
            </w:rPr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 HYPERLINK \l _Toc1795574681 </w:instrText>
          </w:r>
          <w:r>
            <w:rPr>
              <w:b/>
            </w:rPr>
            <w:fldChar w:fldCharType="separate"/>
          </w:r>
          <w:r>
            <w:rPr>
              <w:b/>
            </w:rPr>
            <w:t>7. Expected Business Benefits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_Toc1795574681 \h </w:instrText>
          </w:r>
          <w:r>
            <w:rPr>
              <w:b/>
            </w:rPr>
            <w:fldChar w:fldCharType="separate"/>
          </w:r>
          <w:r>
            <w:rPr>
              <w:b/>
            </w:rPr>
            <w:t>16</w:t>
          </w:r>
          <w:r>
            <w:rPr>
              <w:b/>
            </w:rPr>
            <w:fldChar w:fldCharType="end"/>
          </w:r>
          <w:r>
            <w:rPr>
              <w:b/>
            </w:rPr>
            <w:fldChar w:fldCharType="end"/>
          </w:r>
        </w:p>
        <w:p w14:paraId="28A32DEF">
          <w:pPr>
            <w:pStyle w:val="19"/>
            <w:tabs>
              <w:tab w:val="right" w:leader="dot" w:pos="9360"/>
            </w:tabs>
            <w:rPr>
              <w:b/>
            </w:rPr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 HYPERLINK \l _Toc1783455923 </w:instrText>
          </w:r>
          <w:r>
            <w:rPr>
              <w:b/>
            </w:rPr>
            <w:fldChar w:fldCharType="separate"/>
          </w:r>
          <w:r>
            <w:rPr>
              <w:b/>
            </w:rPr>
            <w:t>8. Document Control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_Toc1783455923 \h </w:instrText>
          </w:r>
          <w:r>
            <w:rPr>
              <w:b/>
            </w:rPr>
            <w:fldChar w:fldCharType="separate"/>
          </w:r>
          <w:r>
            <w:rPr>
              <w:b/>
            </w:rPr>
            <w:t>17</w:t>
          </w:r>
          <w:r>
            <w:rPr>
              <w:b/>
            </w:rPr>
            <w:fldChar w:fldCharType="end"/>
          </w:r>
          <w:r>
            <w:rPr>
              <w:b/>
            </w:rPr>
            <w:fldChar w:fldCharType="end"/>
          </w:r>
        </w:p>
        <w:p w14:paraId="1BF69ABC">
          <w:pPr>
            <w:rPr>
              <w:b/>
            </w:rPr>
            <w:sectPr>
              <w:headerReference r:id="rId3" w:type="default"/>
              <w:footerReference r:id="rId4" w:type="default"/>
              <w:pgSz w:w="12240" w:h="15840"/>
              <w:pgMar w:top="1440" w:right="1440" w:bottom="1440" w:left="1440" w:header="708" w:footer="708" w:gutter="0"/>
              <w:cols w:space="720" w:num="1"/>
              <w:docGrid w:linePitch="360" w:charSpace="0"/>
            </w:sectPr>
          </w:pPr>
          <w:r>
            <w:rPr>
              <w:b/>
            </w:rPr>
            <w:fldChar w:fldCharType="end"/>
          </w:r>
          <w:bookmarkStart w:id="26" w:name="_GoBack"/>
          <w:bookmarkEnd w:id="26"/>
        </w:p>
      </w:sdtContent>
    </w:sdt>
    <w:p w14:paraId="5FB7FDBB">
      <w:pPr>
        <w:rPr>
          <w:b/>
        </w:rPr>
      </w:pPr>
    </w:p>
    <w:p w14:paraId="682A1143">
      <w:pPr>
        <w:pStyle w:val="2"/>
        <w:pBdr>
          <w:bottom w:val="single" w:color="2E75B6" w:sz="8" w:space="0"/>
        </w:pBdr>
        <w:spacing w:before="400" w:after="200"/>
        <w:rPr>
          <w:b/>
          <w:bCs/>
          <w:color w:val="1F4E79"/>
          <w:sz w:val="28"/>
          <w:szCs w:val="28"/>
        </w:rPr>
      </w:pPr>
      <w:bookmarkStart w:id="0" w:name="_Toc1645137227"/>
      <w:r>
        <w:t>1. Executive Summary</w:t>
      </w:r>
      <w:bookmarkEnd w:id="0"/>
    </w:p>
    <w:p w14:paraId="6E00FBDF">
      <w:pPr>
        <w:spacing w:after="160"/>
        <w:jc w:val="both"/>
      </w:pPr>
      <w:r>
        <w:rPr>
          <w:color w:val="000000"/>
          <w:sz w:val="20"/>
          <w:szCs w:val="20"/>
        </w:rPr>
        <w:t>This document describes the complete solution design for a custom-built Human Resource Management System (HRMS). The system is being developed as a standalone custom ERP application, built from scratch, to meet organizational requirements that go beyond the capabilities of standard off-the-shelf HRMS platforms.</w:t>
      </w:r>
    </w:p>
    <w:p w14:paraId="27DA6971">
      <w:pPr>
        <w:spacing w:after="160"/>
        <w:jc w:val="both"/>
      </w:pPr>
      <w:r>
        <w:rPr>
          <w:color w:val="000000"/>
          <w:sz w:val="20"/>
          <w:szCs w:val="20"/>
        </w:rPr>
        <w:t>The core philosophy of this HRMS is to move from a time-based evaluation model to a value-based model — measuring employees by their professional capability, work quality, efficiency, asset ownership, and long-term contribution to the organization.</w:t>
      </w:r>
    </w:p>
    <w:p w14:paraId="4B339648">
      <w:pPr>
        <w:spacing w:after="160"/>
        <w:jc w:val="both"/>
      </w:pPr>
      <w:r>
        <w:rPr>
          <w:color w:val="000000"/>
          <w:sz w:val="20"/>
          <w:szCs w:val="20"/>
        </w:rPr>
        <w:t>This document covers the project scope, functional module design, business logic specifications, data ownership framework, reward model, and high-level non-functional requirements. It is intended for use by stakeholders, project managers, architects, developers, and QA teams.</w:t>
      </w:r>
    </w:p>
    <w:p w14:paraId="698246C3">
      <w:r>
        <w:br w:type="page"/>
      </w:r>
    </w:p>
    <w:p w14:paraId="6B7B0C61">
      <w:pPr>
        <w:pStyle w:val="2"/>
        <w:pBdr>
          <w:bottom w:val="single" w:color="2E75B6" w:sz="8" w:space="0"/>
        </w:pBdr>
        <w:spacing w:before="400" w:after="200"/>
        <w:rPr>
          <w:b/>
          <w:bCs/>
          <w:color w:val="1F4E79"/>
          <w:sz w:val="28"/>
          <w:szCs w:val="28"/>
        </w:rPr>
      </w:pPr>
      <w:bookmarkStart w:id="1" w:name="_Toc969419064"/>
      <w:r>
        <w:t>2. Project Scope</w:t>
      </w:r>
      <w:bookmarkEnd w:id="1"/>
    </w:p>
    <w:p w14:paraId="3051436F">
      <w:pPr>
        <w:pStyle w:val="3"/>
        <w:spacing w:before="320" w:after="160"/>
        <w:rPr>
          <w:b/>
          <w:bCs/>
          <w:color w:val="2E75B6"/>
          <w:sz w:val="24"/>
          <w:szCs w:val="24"/>
        </w:rPr>
      </w:pPr>
      <w:bookmarkStart w:id="2" w:name="_Toc67778859"/>
      <w:r>
        <w:t>2.1 In Scope</w:t>
      </w:r>
      <w:bookmarkEnd w:id="2"/>
    </w:p>
    <w:p w14:paraId="7D736B41">
      <w:pPr>
        <w:spacing w:after="160"/>
        <w:jc w:val="both"/>
      </w:pPr>
      <w:r>
        <w:rPr>
          <w:color w:val="000000"/>
          <w:sz w:val="20"/>
          <w:szCs w:val="20"/>
        </w:rPr>
        <w:t>The following capabilities are within the scope of this project:</w:t>
      </w:r>
    </w:p>
    <w:p w14:paraId="3AFC7254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Base Professional Value (BPV) Engine — a configurable scoring engine to calculate employee professional worth</w:t>
      </w:r>
    </w:p>
    <w:p w14:paraId="4D7D03C3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Outcome-Based Time Reporting — replacing traditional 8-hour attendance with delivery-based reporting</w:t>
      </w:r>
    </w:p>
    <w:p w14:paraId="0822C261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Dual-Component Salary Structure — BPV-driven base pay + small time-reporting variable component</w:t>
      </w:r>
    </w:p>
    <w:p w14:paraId="3FE209AE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Efficiency Evaluation and Scoring — rewarding fast, high-quality task completion</w:t>
      </w:r>
    </w:p>
    <w:p w14:paraId="45CB5C0D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Employee Data Ownership Registry — tracking every digital asset with full ownership metadata</w:t>
      </w:r>
    </w:p>
    <w:p w14:paraId="033C8724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Documentation Compliance Management — enforcing and tracking documentation requirements on all assets</w:t>
      </w:r>
    </w:p>
    <w:p w14:paraId="4C7F58BA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Long-Term Reward and Royalty Management — configurable incentive engine tied to asset value creation</w:t>
      </w:r>
    </w:p>
    <w:p w14:paraId="1D67C2AE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Beneficiary Management — employee-designated beneficiaries for long-term reward distribution</w:t>
      </w:r>
    </w:p>
    <w:p w14:paraId="7F70BC36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HR and Finance Administration Dashboard — configuration, reporting, and oversight</w:t>
      </w:r>
    </w:p>
    <w:p w14:paraId="5F128918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Reports and Analytics — productivity, efficiency, contribution, and reward analytics</w:t>
      </w:r>
    </w:p>
    <w:p w14:paraId="124BC832">
      <w:pPr>
        <w:spacing w:before="200"/>
      </w:pPr>
    </w:p>
    <w:p w14:paraId="5E57F2C1">
      <w:pPr>
        <w:pStyle w:val="3"/>
        <w:spacing w:before="320" w:after="160"/>
        <w:rPr>
          <w:b/>
          <w:bCs/>
          <w:color w:val="2E75B6"/>
          <w:sz w:val="24"/>
          <w:szCs w:val="24"/>
        </w:rPr>
      </w:pPr>
      <w:bookmarkStart w:id="3" w:name="_Toc992950303"/>
      <w:r>
        <w:t>2.2 Out of Scope</w:t>
      </w:r>
      <w:bookmarkEnd w:id="3"/>
    </w:p>
    <w:p w14:paraId="13CEAC85">
      <w:pPr>
        <w:spacing w:after="160"/>
        <w:jc w:val="both"/>
      </w:pPr>
      <w:r>
        <w:rPr>
          <w:color w:val="000000"/>
          <w:sz w:val="20"/>
          <w:szCs w:val="20"/>
        </w:rPr>
        <w:t>The following are explicitly out of scope for the initial release:</w:t>
      </w:r>
    </w:p>
    <w:p w14:paraId="356069AC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Payroll disbursement and banking integrations</w:t>
      </w:r>
    </w:p>
    <w:p w14:paraId="4F2C5FB2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Recruitment and applicant tracking</w:t>
      </w:r>
    </w:p>
    <w:p w14:paraId="444D4FC3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Leave management and travel expense management</w:t>
      </w:r>
    </w:p>
    <w:p w14:paraId="63AE7468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Performance appraisal ratings (handled by Efficiency Score, not separate appraisal cycles)</w:t>
      </w:r>
    </w:p>
    <w:p w14:paraId="48F22853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Third-party HRMS integrations (Salesforce, SAP, Workday, etc.)</w:t>
      </w:r>
    </w:p>
    <w:p w14:paraId="40331F98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Mobile application (web-based responsive UI is in scope; native mobile app is a future phase)</w:t>
      </w:r>
    </w:p>
    <w:p w14:paraId="22D7F887">
      <w:pPr>
        <w:spacing w:before="200"/>
      </w:pPr>
    </w:p>
    <w:p w14:paraId="72F4288E">
      <w:pPr>
        <w:pStyle w:val="3"/>
        <w:spacing w:before="320" w:after="160"/>
        <w:rPr>
          <w:b/>
          <w:bCs/>
          <w:color w:val="2E75B6"/>
          <w:sz w:val="24"/>
          <w:szCs w:val="24"/>
        </w:rPr>
      </w:pPr>
      <w:bookmarkStart w:id="4" w:name="_Toc420321684"/>
      <w:r>
        <w:t>2.3 Assumptions</w:t>
      </w:r>
      <w:bookmarkEnd w:id="4"/>
    </w:p>
    <w:p w14:paraId="31877768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The application will be hosted on a cloud platform (provider to be confirmed).</w:t>
      </w:r>
    </w:p>
    <w:p w14:paraId="5B8EB521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Authentication will be handled via role-based access control (RBAC) with SSO support.</w:t>
      </w:r>
    </w:p>
    <w:p w14:paraId="10DFDD6F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All monetary calculations are configurable and do not hardcode any currency or rate.</w:t>
      </w:r>
    </w:p>
    <w:p w14:paraId="32548683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Legal and compliance requirements for beneficiary payouts will be handled by HR/Finance configuration, not system enforcement.</w:t>
      </w:r>
    </w:p>
    <w:p w14:paraId="0589A475">
      <w:r>
        <w:br w:type="page"/>
      </w:r>
    </w:p>
    <w:p w14:paraId="63A57A78">
      <w:pPr>
        <w:pStyle w:val="2"/>
        <w:pBdr>
          <w:bottom w:val="single" w:color="2E75B6" w:sz="8" w:space="0"/>
        </w:pBdr>
        <w:spacing w:before="400" w:after="200"/>
        <w:rPr>
          <w:b/>
          <w:bCs/>
          <w:color w:val="1F4E79"/>
          <w:sz w:val="28"/>
          <w:szCs w:val="28"/>
        </w:rPr>
      </w:pPr>
      <w:bookmarkStart w:id="5" w:name="_Toc1272828005"/>
      <w:r>
        <w:t>3. System Overview</w:t>
      </w:r>
      <w:bookmarkEnd w:id="5"/>
    </w:p>
    <w:p w14:paraId="14CAB66D">
      <w:pPr>
        <w:spacing w:after="160"/>
        <w:jc w:val="both"/>
      </w:pPr>
      <w:r>
        <w:rPr>
          <w:color w:val="000000"/>
          <w:sz w:val="20"/>
          <w:szCs w:val="20"/>
        </w:rPr>
        <w:t>The HRMS is a web-based custom ERP application with a modular architecture. Each module is independently configurable by HR and Finance administrators. The system is designed to scale with organizational growth and adapt to changing policies without code changes.</w:t>
      </w:r>
    </w:p>
    <w:p w14:paraId="2BC67E4F">
      <w:pPr>
        <w:spacing w:before="200"/>
      </w:pPr>
    </w:p>
    <w:p w14:paraId="6E37531E">
      <w:pPr>
        <w:pStyle w:val="3"/>
        <w:spacing w:before="320" w:after="160"/>
        <w:rPr>
          <w:b/>
          <w:bCs/>
          <w:color w:val="2E75B6"/>
          <w:sz w:val="24"/>
          <w:szCs w:val="24"/>
        </w:rPr>
      </w:pPr>
      <w:bookmarkStart w:id="6" w:name="_Toc1335672268"/>
      <w:r>
        <w:t>3.1 High-Level Module Map</w:t>
      </w:r>
      <w:bookmarkEnd w:id="6"/>
    </w:p>
    <w:p w14:paraId="188D36A9">
      <w:pPr>
        <w:spacing w:before="1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0A6FAB44">
        <w:trPr>
          <w:tblHeader/>
        </w:trPr>
        <w:tc>
          <w:tcPr>
            <w:tcW w:w="4680" w:type="dxa"/>
            <w:shd w:val="clear" w:color="auto" w:fill="1F4E79"/>
          </w:tcPr>
          <w:p w14:paraId="13D6CAB8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4680" w:type="dxa"/>
            <w:shd w:val="clear" w:color="auto" w:fill="1F4E79"/>
          </w:tcPr>
          <w:p w14:paraId="58118053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14:paraId="6122AED3">
        <w:tc>
          <w:tcPr>
            <w:tcW w:w="4680" w:type="dxa"/>
            <w:shd w:val="clear" w:color="auto" w:fill="FFFFFF"/>
          </w:tcPr>
          <w:p w14:paraId="6C2DEF42">
            <w:r>
              <w:rPr>
                <w:sz w:val="20"/>
                <w:szCs w:val="20"/>
              </w:rPr>
              <w:t>Employee Master</w:t>
            </w:r>
          </w:p>
        </w:tc>
        <w:tc>
          <w:tcPr>
            <w:tcW w:w="4680" w:type="dxa"/>
            <w:shd w:val="clear" w:color="auto" w:fill="FFFFFF"/>
          </w:tcPr>
          <w:p w14:paraId="7CAA41E7">
            <w:r>
              <w:rPr>
                <w:sz w:val="20"/>
                <w:szCs w:val="20"/>
              </w:rPr>
              <w:t>Central employee profile and professional data management</w:t>
            </w:r>
          </w:p>
        </w:tc>
      </w:tr>
      <w:tr w14:paraId="1AEE0540">
        <w:tc>
          <w:tcPr>
            <w:tcW w:w="4680" w:type="dxa"/>
            <w:shd w:val="clear" w:color="auto" w:fill="F2F2F2"/>
          </w:tcPr>
          <w:p w14:paraId="5AE35768">
            <w:r>
              <w:rPr>
                <w:sz w:val="20"/>
                <w:szCs w:val="20"/>
              </w:rPr>
              <w:t>BPV Engine</w:t>
            </w:r>
          </w:p>
        </w:tc>
        <w:tc>
          <w:tcPr>
            <w:tcW w:w="4680" w:type="dxa"/>
            <w:shd w:val="clear" w:color="auto" w:fill="F2F2F2"/>
          </w:tcPr>
          <w:p w14:paraId="0E856674">
            <w:r>
              <w:rPr>
                <w:sz w:val="20"/>
                <w:szCs w:val="20"/>
              </w:rPr>
              <w:t>Calculate and maintain each employee's Base Professional Value</w:t>
            </w:r>
          </w:p>
        </w:tc>
      </w:tr>
      <w:tr w14:paraId="649622D4">
        <w:tc>
          <w:tcPr>
            <w:tcW w:w="4680" w:type="dxa"/>
            <w:shd w:val="clear" w:color="auto" w:fill="FFFFFF"/>
          </w:tcPr>
          <w:p w14:paraId="04184C51">
            <w:r>
              <w:rPr>
                <w:sz w:val="20"/>
                <w:szCs w:val="20"/>
              </w:rPr>
              <w:t>Qualification &amp; Experience Scoring</w:t>
            </w:r>
          </w:p>
        </w:tc>
        <w:tc>
          <w:tcPr>
            <w:tcW w:w="4680" w:type="dxa"/>
            <w:shd w:val="clear" w:color="auto" w:fill="FFFFFF"/>
          </w:tcPr>
          <w:p w14:paraId="0400B923">
            <w:r>
              <w:rPr>
                <w:sz w:val="20"/>
                <w:szCs w:val="20"/>
              </w:rPr>
              <w:t>Input scoring for education, experience, and org profile</w:t>
            </w:r>
          </w:p>
        </w:tc>
      </w:tr>
      <w:tr w14:paraId="0BC0B7CE">
        <w:tc>
          <w:tcPr>
            <w:tcW w:w="4680" w:type="dxa"/>
            <w:shd w:val="clear" w:color="auto" w:fill="F2F2F2"/>
          </w:tcPr>
          <w:p w14:paraId="7C1DECB6">
            <w:r>
              <w:rPr>
                <w:sz w:val="20"/>
                <w:szCs w:val="20"/>
              </w:rPr>
              <w:t>Technical Skill &amp; Certification Management</w:t>
            </w:r>
          </w:p>
        </w:tc>
        <w:tc>
          <w:tcPr>
            <w:tcW w:w="4680" w:type="dxa"/>
            <w:shd w:val="clear" w:color="auto" w:fill="F2F2F2"/>
          </w:tcPr>
          <w:p w14:paraId="1385C19F">
            <w:r>
              <w:rPr>
                <w:sz w:val="20"/>
                <w:szCs w:val="20"/>
              </w:rPr>
              <w:t>Manage skills, certifications, and proficiency ratings</w:t>
            </w:r>
          </w:p>
        </w:tc>
      </w:tr>
      <w:tr w14:paraId="1E305B5E">
        <w:tc>
          <w:tcPr>
            <w:tcW w:w="4680" w:type="dxa"/>
            <w:shd w:val="clear" w:color="auto" w:fill="FFFFFF"/>
          </w:tcPr>
          <w:p w14:paraId="77743F28">
            <w:r>
              <w:rPr>
                <w:sz w:val="20"/>
                <w:szCs w:val="20"/>
              </w:rPr>
              <w:t>Outcome-Based Task Reporting</w:t>
            </w:r>
          </w:p>
        </w:tc>
        <w:tc>
          <w:tcPr>
            <w:tcW w:w="4680" w:type="dxa"/>
            <w:shd w:val="clear" w:color="auto" w:fill="FFFFFF"/>
          </w:tcPr>
          <w:p w14:paraId="1C2C5946">
            <w:r>
              <w:rPr>
                <w:sz w:val="20"/>
                <w:szCs w:val="20"/>
              </w:rPr>
              <w:t>Record assigned tasks, delivered work, and quality assessments</w:t>
            </w:r>
          </w:p>
        </w:tc>
      </w:tr>
      <w:tr w14:paraId="57FDE2F8">
        <w:tc>
          <w:tcPr>
            <w:tcW w:w="4680" w:type="dxa"/>
            <w:shd w:val="clear" w:color="auto" w:fill="F2F2F2"/>
          </w:tcPr>
          <w:p w14:paraId="3DC517B1">
            <w:r>
              <w:rPr>
                <w:sz w:val="20"/>
                <w:szCs w:val="20"/>
              </w:rPr>
              <w:t>Time Reporting</w:t>
            </w:r>
          </w:p>
        </w:tc>
        <w:tc>
          <w:tcPr>
            <w:tcW w:w="4680" w:type="dxa"/>
            <w:shd w:val="clear" w:color="auto" w:fill="F2F2F2"/>
          </w:tcPr>
          <w:p w14:paraId="635DBF6F">
            <w:r>
              <w:rPr>
                <w:sz w:val="20"/>
                <w:szCs w:val="20"/>
              </w:rPr>
              <w:t>Minimal time logging (1/2/4/6 hrs) linked to task completion</w:t>
            </w:r>
          </w:p>
        </w:tc>
      </w:tr>
      <w:tr w14:paraId="5149A542">
        <w:tc>
          <w:tcPr>
            <w:tcW w:w="4680" w:type="dxa"/>
            <w:shd w:val="clear" w:color="auto" w:fill="FFFFFF"/>
          </w:tcPr>
          <w:p w14:paraId="0F2D63A7">
            <w:r>
              <w:rPr>
                <w:sz w:val="20"/>
                <w:szCs w:val="20"/>
              </w:rPr>
              <w:t>Dual-Component Salary Management</w:t>
            </w:r>
          </w:p>
        </w:tc>
        <w:tc>
          <w:tcPr>
            <w:tcW w:w="4680" w:type="dxa"/>
            <w:shd w:val="clear" w:color="auto" w:fill="FFFFFF"/>
          </w:tcPr>
          <w:p w14:paraId="396D9543">
            <w:r>
              <w:rPr>
                <w:sz w:val="20"/>
                <w:szCs w:val="20"/>
              </w:rPr>
              <w:t>Manage BPV salary component and time-reporting variable component</w:t>
            </w:r>
          </w:p>
        </w:tc>
      </w:tr>
      <w:tr w14:paraId="20B76B3E">
        <w:tc>
          <w:tcPr>
            <w:tcW w:w="4680" w:type="dxa"/>
            <w:shd w:val="clear" w:color="auto" w:fill="F2F2F2"/>
          </w:tcPr>
          <w:p w14:paraId="69D98310">
            <w:r>
              <w:rPr>
                <w:sz w:val="20"/>
                <w:szCs w:val="20"/>
              </w:rPr>
              <w:t>Productivity &amp; Efficiency Analytics</w:t>
            </w:r>
          </w:p>
        </w:tc>
        <w:tc>
          <w:tcPr>
            <w:tcW w:w="4680" w:type="dxa"/>
            <w:shd w:val="clear" w:color="auto" w:fill="F2F2F2"/>
          </w:tcPr>
          <w:p w14:paraId="3B6D8B90">
            <w:r>
              <w:rPr>
                <w:sz w:val="20"/>
                <w:szCs w:val="20"/>
              </w:rPr>
              <w:t>Score and trend employee efficiency over time</w:t>
            </w:r>
          </w:p>
        </w:tc>
      </w:tr>
      <w:tr w14:paraId="0F7A10E2">
        <w:tc>
          <w:tcPr>
            <w:tcW w:w="4680" w:type="dxa"/>
            <w:shd w:val="clear" w:color="auto" w:fill="FFFFFF"/>
          </w:tcPr>
          <w:p w14:paraId="41228818">
            <w:r>
              <w:rPr>
                <w:sz w:val="20"/>
                <w:szCs w:val="20"/>
              </w:rPr>
              <w:t>Data Ownership Registry</w:t>
            </w:r>
          </w:p>
        </w:tc>
        <w:tc>
          <w:tcPr>
            <w:tcW w:w="4680" w:type="dxa"/>
            <w:shd w:val="clear" w:color="auto" w:fill="FFFFFF"/>
          </w:tcPr>
          <w:p w14:paraId="613C2CB0">
            <w:r>
              <w:rPr>
                <w:sz w:val="20"/>
                <w:szCs w:val="20"/>
              </w:rPr>
              <w:t>Register, track, and govern all employee-created digital assets</w:t>
            </w:r>
          </w:p>
        </w:tc>
      </w:tr>
      <w:tr w14:paraId="382A18CD">
        <w:tc>
          <w:tcPr>
            <w:tcW w:w="4680" w:type="dxa"/>
            <w:shd w:val="clear" w:color="auto" w:fill="F2F2F2"/>
          </w:tcPr>
          <w:p w14:paraId="70DFB6B9">
            <w:r>
              <w:rPr>
                <w:sz w:val="20"/>
                <w:szCs w:val="20"/>
              </w:rPr>
              <w:t>Asset &amp; Documentation Management</w:t>
            </w:r>
          </w:p>
        </w:tc>
        <w:tc>
          <w:tcPr>
            <w:tcW w:w="4680" w:type="dxa"/>
            <w:shd w:val="clear" w:color="auto" w:fill="F2F2F2"/>
          </w:tcPr>
          <w:p w14:paraId="656E432F">
            <w:r>
              <w:rPr>
                <w:sz w:val="20"/>
                <w:szCs w:val="20"/>
              </w:rPr>
              <w:t>Enforce documentation compliance for all owned assets</w:t>
            </w:r>
          </w:p>
        </w:tc>
      </w:tr>
      <w:tr w14:paraId="464BC226">
        <w:tc>
          <w:tcPr>
            <w:tcW w:w="4680" w:type="dxa"/>
            <w:shd w:val="clear" w:color="auto" w:fill="FFFFFF"/>
          </w:tcPr>
          <w:p w14:paraId="67F7EB18">
            <w:r>
              <w:rPr>
                <w:sz w:val="20"/>
                <w:szCs w:val="20"/>
              </w:rPr>
              <w:t>Contribution Tracking</w:t>
            </w:r>
          </w:p>
        </w:tc>
        <w:tc>
          <w:tcPr>
            <w:tcW w:w="4680" w:type="dxa"/>
            <w:shd w:val="clear" w:color="auto" w:fill="FFFFFF"/>
          </w:tcPr>
          <w:p w14:paraId="7F1F4E8C">
            <w:r>
              <w:rPr>
                <w:sz w:val="20"/>
                <w:szCs w:val="20"/>
              </w:rPr>
              <w:t>Link employee contributions to business outcomes</w:t>
            </w:r>
          </w:p>
        </w:tc>
      </w:tr>
      <w:tr w14:paraId="050FB824">
        <w:tc>
          <w:tcPr>
            <w:tcW w:w="4680" w:type="dxa"/>
            <w:shd w:val="clear" w:color="auto" w:fill="F2F2F2"/>
          </w:tcPr>
          <w:p w14:paraId="6719CFC3">
            <w:r>
              <w:rPr>
                <w:sz w:val="20"/>
                <w:szCs w:val="20"/>
              </w:rPr>
              <w:t>Reward &amp; Incentive Management</w:t>
            </w:r>
          </w:p>
        </w:tc>
        <w:tc>
          <w:tcPr>
            <w:tcW w:w="4680" w:type="dxa"/>
            <w:shd w:val="clear" w:color="auto" w:fill="F2F2F2"/>
          </w:tcPr>
          <w:p w14:paraId="2E7E50F5">
            <w:r>
              <w:rPr>
                <w:sz w:val="20"/>
                <w:szCs w:val="20"/>
              </w:rPr>
              <w:t>Configure and calculate long-term rewards and royalties</w:t>
            </w:r>
          </w:p>
        </w:tc>
      </w:tr>
      <w:tr w14:paraId="5DF7C847">
        <w:tc>
          <w:tcPr>
            <w:tcW w:w="4680" w:type="dxa"/>
            <w:shd w:val="clear" w:color="auto" w:fill="FFFFFF"/>
          </w:tcPr>
          <w:p w14:paraId="11F8A98B">
            <w:r>
              <w:rPr>
                <w:sz w:val="20"/>
                <w:szCs w:val="20"/>
              </w:rPr>
              <w:t>Beneficiary Management</w:t>
            </w:r>
          </w:p>
        </w:tc>
        <w:tc>
          <w:tcPr>
            <w:tcW w:w="4680" w:type="dxa"/>
            <w:shd w:val="clear" w:color="auto" w:fill="FFFFFF"/>
          </w:tcPr>
          <w:p w14:paraId="09619126">
            <w:r>
              <w:rPr>
                <w:sz w:val="20"/>
                <w:szCs w:val="20"/>
              </w:rPr>
              <w:t>Employee beneficiary nomination and management</w:t>
            </w:r>
          </w:p>
        </w:tc>
      </w:tr>
      <w:tr w14:paraId="46BEB147">
        <w:tc>
          <w:tcPr>
            <w:tcW w:w="4680" w:type="dxa"/>
            <w:shd w:val="clear" w:color="auto" w:fill="F2F2F2"/>
          </w:tcPr>
          <w:p w14:paraId="03CA3BCF">
            <w:r>
              <w:rPr>
                <w:sz w:val="20"/>
                <w:szCs w:val="20"/>
              </w:rPr>
              <w:t>HR &amp; Finance Admin Dashboard</w:t>
            </w:r>
          </w:p>
        </w:tc>
        <w:tc>
          <w:tcPr>
            <w:tcW w:w="4680" w:type="dxa"/>
            <w:shd w:val="clear" w:color="auto" w:fill="F2F2F2"/>
          </w:tcPr>
          <w:p w14:paraId="380301E8">
            <w:r>
              <w:rPr>
                <w:sz w:val="20"/>
                <w:szCs w:val="20"/>
              </w:rPr>
              <w:t>System-wide configuration, oversight, and approvals</w:t>
            </w:r>
          </w:p>
        </w:tc>
      </w:tr>
      <w:tr w14:paraId="1772BB9E">
        <w:tc>
          <w:tcPr>
            <w:tcW w:w="4680" w:type="dxa"/>
            <w:shd w:val="clear" w:color="auto" w:fill="FFFFFF"/>
          </w:tcPr>
          <w:p w14:paraId="34697A79">
            <w:r>
              <w:rPr>
                <w:sz w:val="20"/>
                <w:szCs w:val="20"/>
              </w:rPr>
              <w:t>Reports &amp; Analytics</w:t>
            </w:r>
          </w:p>
        </w:tc>
        <w:tc>
          <w:tcPr>
            <w:tcW w:w="4680" w:type="dxa"/>
            <w:shd w:val="clear" w:color="auto" w:fill="FFFFFF"/>
          </w:tcPr>
          <w:p w14:paraId="44ED018B">
            <w:r>
              <w:rPr>
                <w:sz w:val="20"/>
                <w:szCs w:val="20"/>
              </w:rPr>
              <w:t>Cross-module reporting and business intelligence</w:t>
            </w:r>
          </w:p>
        </w:tc>
      </w:tr>
    </w:tbl>
    <w:p w14:paraId="4E194B09">
      <w:r>
        <w:br w:type="page"/>
      </w:r>
    </w:p>
    <w:p w14:paraId="72E520D4">
      <w:pPr>
        <w:pStyle w:val="2"/>
        <w:pBdr>
          <w:bottom w:val="single" w:color="2E75B6" w:sz="8" w:space="0"/>
        </w:pBdr>
        <w:spacing w:before="400" w:after="200"/>
        <w:rPr>
          <w:b/>
          <w:bCs/>
          <w:color w:val="1F4E79"/>
          <w:sz w:val="28"/>
          <w:szCs w:val="28"/>
        </w:rPr>
      </w:pPr>
      <w:bookmarkStart w:id="7" w:name="_Toc997246185"/>
      <w:r>
        <w:t>4. Functional Module Specifications</w:t>
      </w:r>
      <w:bookmarkEnd w:id="7"/>
    </w:p>
    <w:p w14:paraId="5729FCEE">
      <w:pPr>
        <w:pStyle w:val="3"/>
        <w:spacing w:before="320" w:after="160"/>
        <w:rPr>
          <w:b/>
          <w:bCs/>
          <w:color w:val="2E75B6"/>
          <w:sz w:val="24"/>
          <w:szCs w:val="24"/>
        </w:rPr>
      </w:pPr>
      <w:bookmarkStart w:id="8" w:name="_Toc1754250107"/>
      <w:r>
        <w:t>4.1 Employee Master</w:t>
      </w:r>
      <w:bookmarkEnd w:id="8"/>
    </w:p>
    <w:p w14:paraId="5D8E7F4D">
      <w:pPr>
        <w:spacing w:after="160"/>
        <w:jc w:val="both"/>
      </w:pPr>
      <w:r>
        <w:rPr>
          <w:color w:val="000000"/>
          <w:sz w:val="20"/>
          <w:szCs w:val="20"/>
        </w:rPr>
        <w:t>The Employee Master is the central profile for each employee. All other modules reference this record.</w:t>
      </w:r>
    </w:p>
    <w:p w14:paraId="00DFC46E">
      <w:pPr>
        <w:pStyle w:val="4"/>
        <w:spacing w:before="240" w:after="120"/>
        <w:rPr>
          <w:b/>
          <w:bCs/>
          <w:color w:val="404040"/>
          <w:sz w:val="22"/>
          <w:szCs w:val="22"/>
        </w:rPr>
      </w:pPr>
      <w:r>
        <w:t>Key Data Fields</w:t>
      </w:r>
    </w:p>
    <w:p w14:paraId="34D7C007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Personal information: name, date of birth, contact details, emergency contact</w:t>
      </w:r>
    </w:p>
    <w:p w14:paraId="39FBF81A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Employment details: employee ID, designation, department, reporting manager, date of joining</w:t>
      </w:r>
    </w:p>
    <w:p w14:paraId="13FDC924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Professional profile: qualifications, certifications, experience history, organization history</w:t>
      </w:r>
    </w:p>
    <w:p w14:paraId="65E833BE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Skill profile: technical skills, proficiency levels, tools, platforms, frameworks</w:t>
      </w:r>
    </w:p>
    <w:p w14:paraId="19BB12DE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BPV Score: computed and maintained by the BPV Engine</w:t>
      </w:r>
    </w:p>
    <w:p w14:paraId="2EEC5F5D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Salary components: BPV Salary (Component 1) and Time Reporting Value (Component 2)</w:t>
      </w:r>
    </w:p>
    <w:p w14:paraId="4646CB83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Status: active, on notice, exited (ownership records are retained permanently)</w:t>
      </w:r>
    </w:p>
    <w:p w14:paraId="0B5705BD">
      <w:pPr>
        <w:spacing w:before="200"/>
      </w:pPr>
    </w:p>
    <w:p w14:paraId="5A4262F9">
      <w:pPr>
        <w:pStyle w:val="3"/>
        <w:spacing w:before="320" w:after="160"/>
        <w:rPr>
          <w:b/>
          <w:bCs/>
          <w:color w:val="2E75B6"/>
          <w:sz w:val="24"/>
          <w:szCs w:val="24"/>
        </w:rPr>
      </w:pPr>
      <w:bookmarkStart w:id="9" w:name="_Toc878558686"/>
      <w:r>
        <w:t>4.2 Base Professional Value (BPV) Engine</w:t>
      </w:r>
      <w:bookmarkEnd w:id="9"/>
    </w:p>
    <w:p w14:paraId="44011188">
      <w:pPr>
        <w:spacing w:after="160"/>
        <w:jc w:val="both"/>
      </w:pPr>
      <w:r>
        <w:rPr>
          <w:color w:val="000000"/>
          <w:sz w:val="20"/>
          <w:szCs w:val="20"/>
        </w:rPr>
        <w:t>The BPV Engine is the core differentiator of this HRMS. It calculates a numeric score representing the professional worth of each employee, which directly drives the majority of their compensation.</w:t>
      </w:r>
    </w:p>
    <w:p w14:paraId="5AB53083">
      <w:pPr>
        <w:pStyle w:val="4"/>
        <w:spacing w:before="240" w:after="120"/>
        <w:rPr>
          <w:b/>
          <w:bCs/>
          <w:color w:val="404040"/>
          <w:sz w:val="22"/>
          <w:szCs w:val="22"/>
        </w:rPr>
      </w:pPr>
      <w:r>
        <w:t>4.2.1 BPV Formula</w:t>
      </w:r>
    </w:p>
    <w:p w14:paraId="49BE0024">
      <w:pPr>
        <w:spacing w:after="160"/>
        <w:jc w:val="both"/>
      </w:pPr>
      <w:r>
        <w:rPr>
          <w:color w:val="000000"/>
          <w:sz w:val="20"/>
          <w:szCs w:val="20"/>
        </w:rPr>
        <w:t>BPV Score = Education Score + Experience Score + Organization Score + Technical Skill Score + Certification Score</w:t>
      </w:r>
    </w:p>
    <w:p w14:paraId="5DD8BFD2">
      <w:pPr>
        <w:spacing w:after="160"/>
        <w:jc w:val="both"/>
      </w:pPr>
      <w:r>
        <w:rPr>
          <w:color w:val="000000"/>
          <w:sz w:val="20"/>
          <w:szCs w:val="20"/>
        </w:rPr>
        <w:t>Each factor is independently weighted. Weights are configurable by HR administrators through the Admin Dashboard. The total weight must always sum to 100%.</w:t>
      </w:r>
    </w:p>
    <w:p w14:paraId="65B2DD98">
      <w:pPr>
        <w:spacing w:before="200"/>
      </w:pPr>
    </w:p>
    <w:p w14:paraId="03725FCE">
      <w:pPr>
        <w:pStyle w:val="4"/>
        <w:spacing w:before="240" w:after="120"/>
        <w:rPr>
          <w:b/>
          <w:bCs/>
          <w:color w:val="404040"/>
          <w:sz w:val="22"/>
          <w:szCs w:val="22"/>
        </w:rPr>
      </w:pPr>
      <w:r>
        <w:t>4.2.2 Education Scoring</w:t>
      </w:r>
    </w:p>
    <w:p w14:paraId="04CCD607">
      <w:pPr>
        <w:spacing w:before="1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0FB60EB2">
        <w:trPr>
          <w:tblHeader/>
        </w:trPr>
        <w:tc>
          <w:tcPr>
            <w:tcW w:w="4680" w:type="dxa"/>
            <w:shd w:val="clear" w:color="auto" w:fill="1F4E79"/>
          </w:tcPr>
          <w:p w14:paraId="69161A29">
            <w:r>
              <w:rPr>
                <w:b/>
                <w:bCs/>
                <w:color w:val="FFFFFF"/>
                <w:sz w:val="20"/>
                <w:szCs w:val="20"/>
              </w:rPr>
              <w:t>Qualification</w:t>
            </w:r>
          </w:p>
        </w:tc>
        <w:tc>
          <w:tcPr>
            <w:tcW w:w="4680" w:type="dxa"/>
            <w:shd w:val="clear" w:color="auto" w:fill="1F4E79"/>
          </w:tcPr>
          <w:p w14:paraId="704CBEBB">
            <w:r>
              <w:rPr>
                <w:b/>
                <w:bCs/>
                <w:color w:val="FFFFFF"/>
                <w:sz w:val="20"/>
                <w:szCs w:val="20"/>
              </w:rPr>
              <w:t>Default Weight Contribution</w:t>
            </w:r>
          </w:p>
        </w:tc>
      </w:tr>
      <w:tr w14:paraId="145B3F12">
        <w:tc>
          <w:tcPr>
            <w:tcW w:w="4680" w:type="dxa"/>
            <w:shd w:val="clear" w:color="auto" w:fill="FFFFFF"/>
          </w:tcPr>
          <w:p w14:paraId="77FA3372">
            <w:r>
              <w:rPr>
                <w:sz w:val="20"/>
                <w:szCs w:val="20"/>
              </w:rPr>
              <w:t>12th Grade</w:t>
            </w:r>
          </w:p>
        </w:tc>
        <w:tc>
          <w:tcPr>
            <w:tcW w:w="4680" w:type="dxa"/>
            <w:shd w:val="clear" w:color="auto" w:fill="FFFFFF"/>
          </w:tcPr>
          <w:p w14:paraId="38E70EBF">
            <w:r>
              <w:rPr>
                <w:sz w:val="20"/>
                <w:szCs w:val="20"/>
              </w:rPr>
              <w:t>Base level</w:t>
            </w:r>
          </w:p>
        </w:tc>
      </w:tr>
      <w:tr w14:paraId="4B72C7C2">
        <w:tc>
          <w:tcPr>
            <w:tcW w:w="4680" w:type="dxa"/>
            <w:shd w:val="clear" w:color="auto" w:fill="F2F2F2"/>
          </w:tcPr>
          <w:p w14:paraId="4341A6A9">
            <w:r>
              <w:rPr>
                <w:sz w:val="20"/>
                <w:szCs w:val="20"/>
              </w:rPr>
              <w:t>Diploma</w:t>
            </w:r>
          </w:p>
        </w:tc>
        <w:tc>
          <w:tcPr>
            <w:tcW w:w="4680" w:type="dxa"/>
            <w:shd w:val="clear" w:color="auto" w:fill="F2F2F2"/>
          </w:tcPr>
          <w:p w14:paraId="14F45D9E">
            <w:r>
              <w:rPr>
                <w:sz w:val="20"/>
                <w:szCs w:val="20"/>
              </w:rPr>
              <w:t>Incremental above 12th</w:t>
            </w:r>
          </w:p>
        </w:tc>
      </w:tr>
      <w:tr w14:paraId="7356D06D">
        <w:tc>
          <w:tcPr>
            <w:tcW w:w="4680" w:type="dxa"/>
            <w:shd w:val="clear" w:color="auto" w:fill="FFFFFF"/>
          </w:tcPr>
          <w:p w14:paraId="4686AC7D">
            <w:r>
              <w:rPr>
                <w:sz w:val="20"/>
                <w:szCs w:val="20"/>
              </w:rPr>
              <w:t>Undergraduate Degree (3-Year)</w:t>
            </w:r>
          </w:p>
        </w:tc>
        <w:tc>
          <w:tcPr>
            <w:tcW w:w="4680" w:type="dxa"/>
            <w:shd w:val="clear" w:color="auto" w:fill="FFFFFF"/>
          </w:tcPr>
          <w:p w14:paraId="28F519CB">
            <w:r>
              <w:rPr>
                <w:sz w:val="20"/>
                <w:szCs w:val="20"/>
              </w:rPr>
              <w:t>Standard undergraduate level</w:t>
            </w:r>
          </w:p>
        </w:tc>
      </w:tr>
      <w:tr w14:paraId="2ED225EF">
        <w:tc>
          <w:tcPr>
            <w:tcW w:w="4680" w:type="dxa"/>
            <w:shd w:val="clear" w:color="auto" w:fill="F2F2F2"/>
          </w:tcPr>
          <w:p w14:paraId="5C200AED">
            <w:r>
              <w:rPr>
                <w:sz w:val="20"/>
                <w:szCs w:val="20"/>
              </w:rPr>
              <w:t>Undergraduate Degree (4-Year)</w:t>
            </w:r>
          </w:p>
        </w:tc>
        <w:tc>
          <w:tcPr>
            <w:tcW w:w="4680" w:type="dxa"/>
            <w:shd w:val="clear" w:color="auto" w:fill="F2F2F2"/>
          </w:tcPr>
          <w:p w14:paraId="71FF4546">
            <w:r>
              <w:rPr>
                <w:sz w:val="20"/>
                <w:szCs w:val="20"/>
              </w:rPr>
              <w:t>Engineering / professional level</w:t>
            </w:r>
          </w:p>
        </w:tc>
      </w:tr>
      <w:tr w14:paraId="2F6AB1AA">
        <w:tc>
          <w:tcPr>
            <w:tcW w:w="4680" w:type="dxa"/>
            <w:shd w:val="clear" w:color="auto" w:fill="FFFFFF"/>
          </w:tcPr>
          <w:p w14:paraId="0E11C6E9">
            <w:r>
              <w:rPr>
                <w:sz w:val="20"/>
                <w:szCs w:val="20"/>
              </w:rPr>
              <w:t>Master's Degree</w:t>
            </w:r>
          </w:p>
        </w:tc>
        <w:tc>
          <w:tcPr>
            <w:tcW w:w="4680" w:type="dxa"/>
            <w:shd w:val="clear" w:color="auto" w:fill="FFFFFF"/>
          </w:tcPr>
          <w:p w14:paraId="2D21BC57">
            <w:r>
              <w:rPr>
                <w:sz w:val="20"/>
                <w:szCs w:val="20"/>
              </w:rPr>
              <w:t>Postgraduate level</w:t>
            </w:r>
          </w:p>
        </w:tc>
      </w:tr>
      <w:tr w14:paraId="2B0818FD">
        <w:tc>
          <w:tcPr>
            <w:tcW w:w="4680" w:type="dxa"/>
            <w:shd w:val="clear" w:color="auto" w:fill="F2F2F2"/>
          </w:tcPr>
          <w:p w14:paraId="11DC4B3B">
            <w:r>
              <w:rPr>
                <w:sz w:val="20"/>
                <w:szCs w:val="20"/>
              </w:rPr>
              <w:t>Double Master's Degree</w:t>
            </w:r>
          </w:p>
        </w:tc>
        <w:tc>
          <w:tcPr>
            <w:tcW w:w="4680" w:type="dxa"/>
            <w:shd w:val="clear" w:color="auto" w:fill="F2F2F2"/>
          </w:tcPr>
          <w:p w14:paraId="16188A29">
            <w:r>
              <w:rPr>
                <w:sz w:val="20"/>
                <w:szCs w:val="20"/>
              </w:rPr>
              <w:t>Dual specialization</w:t>
            </w:r>
          </w:p>
        </w:tc>
      </w:tr>
      <w:tr w14:paraId="6C5420FC">
        <w:tc>
          <w:tcPr>
            <w:tcW w:w="4680" w:type="dxa"/>
            <w:shd w:val="clear" w:color="auto" w:fill="FFFFFF"/>
          </w:tcPr>
          <w:p w14:paraId="1EF136CB">
            <w:r>
              <w:rPr>
                <w:sz w:val="20"/>
                <w:szCs w:val="20"/>
              </w:rPr>
              <w:t>MBA</w:t>
            </w:r>
          </w:p>
        </w:tc>
        <w:tc>
          <w:tcPr>
            <w:tcW w:w="4680" w:type="dxa"/>
            <w:shd w:val="clear" w:color="auto" w:fill="FFFFFF"/>
          </w:tcPr>
          <w:p w14:paraId="609E520C">
            <w:r>
              <w:rPr>
                <w:sz w:val="20"/>
                <w:szCs w:val="20"/>
              </w:rPr>
              <w:t>Management specialization</w:t>
            </w:r>
          </w:p>
        </w:tc>
      </w:tr>
      <w:tr w14:paraId="7DF25B67">
        <w:tc>
          <w:tcPr>
            <w:tcW w:w="4680" w:type="dxa"/>
            <w:shd w:val="clear" w:color="auto" w:fill="F2F2F2"/>
          </w:tcPr>
          <w:p w14:paraId="416D488B">
            <w:r>
              <w:rPr>
                <w:sz w:val="20"/>
                <w:szCs w:val="20"/>
              </w:rPr>
              <w:t>M.Tech / MS</w:t>
            </w:r>
          </w:p>
        </w:tc>
        <w:tc>
          <w:tcPr>
            <w:tcW w:w="4680" w:type="dxa"/>
            <w:shd w:val="clear" w:color="auto" w:fill="F2F2F2"/>
          </w:tcPr>
          <w:p w14:paraId="2F18E565">
            <w:r>
              <w:rPr>
                <w:sz w:val="20"/>
                <w:szCs w:val="20"/>
              </w:rPr>
              <w:t>Technical postgraduate</w:t>
            </w:r>
          </w:p>
        </w:tc>
      </w:tr>
      <w:tr w14:paraId="7F47857E">
        <w:tc>
          <w:tcPr>
            <w:tcW w:w="4680" w:type="dxa"/>
            <w:shd w:val="clear" w:color="auto" w:fill="FFFFFF"/>
          </w:tcPr>
          <w:p w14:paraId="42FD2105">
            <w:r>
              <w:rPr>
                <w:sz w:val="20"/>
                <w:szCs w:val="20"/>
              </w:rPr>
              <w:t>PhD</w:t>
            </w:r>
          </w:p>
        </w:tc>
        <w:tc>
          <w:tcPr>
            <w:tcW w:w="4680" w:type="dxa"/>
            <w:shd w:val="clear" w:color="auto" w:fill="FFFFFF"/>
          </w:tcPr>
          <w:p w14:paraId="1C4206F6">
            <w:r>
              <w:rPr>
                <w:sz w:val="20"/>
                <w:szCs w:val="20"/>
              </w:rPr>
              <w:t>Doctoral research level</w:t>
            </w:r>
          </w:p>
        </w:tc>
      </w:tr>
      <w:tr w14:paraId="2F9D5298">
        <w:tc>
          <w:tcPr>
            <w:tcW w:w="4680" w:type="dxa"/>
            <w:shd w:val="clear" w:color="auto" w:fill="F2F2F2"/>
          </w:tcPr>
          <w:p w14:paraId="2E82E928">
            <w:r>
              <w:rPr>
                <w:sz w:val="20"/>
                <w:szCs w:val="20"/>
              </w:rPr>
              <w:t>Post-Doctoral Fellowship</w:t>
            </w:r>
          </w:p>
        </w:tc>
        <w:tc>
          <w:tcPr>
            <w:tcW w:w="4680" w:type="dxa"/>
            <w:shd w:val="clear" w:color="auto" w:fill="F2F2F2"/>
          </w:tcPr>
          <w:p w14:paraId="32CF3263">
            <w:r>
              <w:rPr>
                <w:sz w:val="20"/>
                <w:szCs w:val="20"/>
              </w:rPr>
              <w:t>Advanced research recognition</w:t>
            </w:r>
          </w:p>
        </w:tc>
      </w:tr>
    </w:tbl>
    <w:p w14:paraId="234C567E">
      <w:pPr>
        <w:spacing w:before="200"/>
      </w:pPr>
    </w:p>
    <w:p w14:paraId="140E0887">
      <w:pPr>
        <w:pStyle w:val="4"/>
        <w:spacing w:before="240" w:after="120"/>
        <w:rPr>
          <w:b/>
          <w:bCs/>
          <w:color w:val="404040"/>
          <w:sz w:val="22"/>
          <w:szCs w:val="22"/>
        </w:rPr>
      </w:pPr>
      <w:r>
        <w:t>4.2.3 Experience Scoring</w:t>
      </w:r>
    </w:p>
    <w:p w14:paraId="6AF8294F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Total years of professional experience</w:t>
      </w:r>
    </w:p>
    <w:p w14:paraId="3A1C4829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Domain-specific experience (years in the relevant domain)</w:t>
      </w:r>
    </w:p>
    <w:p w14:paraId="76DD07CA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Enterprise-level experience</w:t>
      </w:r>
    </w:p>
    <w:p w14:paraId="1DD60FFB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Global organization experience</w:t>
      </w:r>
    </w:p>
    <w:p w14:paraId="02C8C1DE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Leadership and management experience</w:t>
      </w:r>
    </w:p>
    <w:p w14:paraId="13232D1F">
      <w:pPr>
        <w:spacing w:before="200"/>
      </w:pPr>
    </w:p>
    <w:p w14:paraId="0B0647D7">
      <w:pPr>
        <w:pStyle w:val="4"/>
        <w:spacing w:before="240" w:after="120"/>
        <w:rPr>
          <w:b/>
          <w:bCs/>
          <w:color w:val="404040"/>
          <w:sz w:val="22"/>
          <w:szCs w:val="22"/>
        </w:rPr>
      </w:pPr>
      <w:r>
        <w:t>4.2.4 Organization Profile Scoring</w:t>
      </w:r>
    </w:p>
    <w:p w14:paraId="1340A034">
      <w:pPr>
        <w:spacing w:after="160"/>
        <w:jc w:val="both"/>
      </w:pPr>
      <w:r>
        <w:rPr>
          <w:color w:val="000000"/>
          <w:sz w:val="20"/>
          <w:szCs w:val="20"/>
        </w:rPr>
        <w:t>The type of organization an employee has worked at contributes to their BPV score:</w:t>
      </w:r>
    </w:p>
    <w:p w14:paraId="43FBD9C5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Startup</w:t>
      </w:r>
    </w:p>
    <w:p w14:paraId="2F1CDAE5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Mid-size organization</w:t>
      </w:r>
    </w:p>
    <w:p w14:paraId="33530BB0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Enterprise organization</w:t>
      </w:r>
    </w:p>
    <w:p w14:paraId="15FD18BB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Fortune 500 company</w:t>
      </w:r>
    </w:p>
    <w:p w14:paraId="572EBE7F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Government organization</w:t>
      </w:r>
    </w:p>
    <w:p w14:paraId="566F9BBB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Research organization</w:t>
      </w:r>
    </w:p>
    <w:p w14:paraId="66C975C7">
      <w:pPr>
        <w:spacing w:before="200"/>
      </w:pPr>
    </w:p>
    <w:p w14:paraId="736A2B96">
      <w:pPr>
        <w:pStyle w:val="4"/>
        <w:spacing w:before="240" w:after="120"/>
        <w:rPr>
          <w:b/>
          <w:bCs/>
          <w:color w:val="404040"/>
          <w:sz w:val="22"/>
          <w:szCs w:val="22"/>
        </w:rPr>
      </w:pPr>
      <w:r>
        <w:t>4.2.5 Technical Skill Scoring</w:t>
      </w:r>
    </w:p>
    <w:p w14:paraId="23A9575C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Programming languages (each with a proficiency rating: beginner / intermediate / expert)</w:t>
      </w:r>
    </w:p>
    <w:p w14:paraId="734194FF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Platforms and cloud environments</w:t>
      </w:r>
    </w:p>
    <w:p w14:paraId="506A9B46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Frameworks and libraries</w:t>
      </w:r>
    </w:p>
    <w:p w14:paraId="5C06B79A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Tools and methodologies (Agile, DevOps, etc.)</w:t>
      </w:r>
    </w:p>
    <w:p w14:paraId="799973B4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Industry certifications (AWS, Azure, PMP, CPA, etc.)</w:t>
      </w:r>
    </w:p>
    <w:p w14:paraId="46F2C8A2">
      <w:pPr>
        <w:spacing w:before="200"/>
      </w:pPr>
    </w:p>
    <w:p w14:paraId="22070CFE">
      <w:pPr>
        <w:pStyle w:val="4"/>
        <w:spacing w:before="240" w:after="120"/>
        <w:rPr>
          <w:b/>
          <w:bCs/>
          <w:color w:val="404040"/>
          <w:sz w:val="22"/>
          <w:szCs w:val="22"/>
        </w:rPr>
      </w:pPr>
      <w:r>
        <w:t>4.2.6 BPV Recalculation Rules</w:t>
      </w:r>
    </w:p>
    <w:p w14:paraId="461F1BC9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BPV is recalculated automatically when an employee's profile is updated.</w:t>
      </w:r>
    </w:p>
    <w:p w14:paraId="2A821570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Manual override is permitted by HR Admin with a mandatory reason log.</w:t>
      </w:r>
    </w:p>
    <w:p w14:paraId="749E7C95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BPV history is retained — showing score at each point in time.</w:t>
      </w:r>
    </w:p>
    <w:p w14:paraId="65C73432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Salary Component 1 is updated based on the new BPV score at each review cycle.</w:t>
      </w:r>
    </w:p>
    <w:p w14:paraId="3F667F49">
      <w:r>
        <w:br w:type="page"/>
      </w:r>
    </w:p>
    <w:p w14:paraId="000CD515">
      <w:pPr>
        <w:pStyle w:val="3"/>
        <w:spacing w:before="320" w:after="160"/>
        <w:rPr>
          <w:b/>
          <w:bCs/>
          <w:color w:val="2E75B6"/>
          <w:sz w:val="24"/>
          <w:szCs w:val="24"/>
        </w:rPr>
      </w:pPr>
      <w:bookmarkStart w:id="10" w:name="_Toc1985762477"/>
      <w:r>
        <w:t>4.3 Outcome-Based Task and Time Reporting</w:t>
      </w:r>
      <w:bookmarkEnd w:id="10"/>
    </w:p>
    <w:p w14:paraId="47961647">
      <w:pPr>
        <w:spacing w:after="160"/>
        <w:jc w:val="both"/>
      </w:pPr>
      <w:r>
        <w:rPr>
          <w:color w:val="000000"/>
          <w:sz w:val="20"/>
          <w:szCs w:val="20"/>
        </w:rPr>
        <w:t>This module replaces the traditional attendance-and-timesheet model. The focus is on what was delivered, not how many hours were occupied.</w:t>
      </w:r>
    </w:p>
    <w:p w14:paraId="05EE341F">
      <w:pPr>
        <w:pStyle w:val="4"/>
        <w:spacing w:before="240" w:after="120"/>
        <w:rPr>
          <w:b/>
          <w:bCs/>
          <w:color w:val="404040"/>
          <w:sz w:val="22"/>
          <w:szCs w:val="22"/>
        </w:rPr>
      </w:pPr>
      <w:r>
        <w:t>4.3.1 Task Reporting</w:t>
      </w:r>
    </w:p>
    <w:p w14:paraId="718FA8D5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Managers assign tasks to employees with defined deliverables, quality criteria, and expected completion dates.</w:t>
      </w:r>
    </w:p>
    <w:p w14:paraId="5706D4D1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Employees report task completion with: completion status, quality assessment (self), any blockers or dependencies, and time consumed.</w:t>
      </w:r>
    </w:p>
    <w:p w14:paraId="0ACE6345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Managers or reviewers confirm delivery quality and mark tasks as accepted or returned for revision.</w:t>
      </w:r>
    </w:p>
    <w:p w14:paraId="2978D505">
      <w:pPr>
        <w:spacing w:before="200"/>
      </w:pPr>
    </w:p>
    <w:p w14:paraId="6553ABA0">
      <w:pPr>
        <w:pStyle w:val="4"/>
        <w:spacing w:before="240" w:after="120"/>
        <w:rPr>
          <w:b/>
          <w:bCs/>
          <w:color w:val="404040"/>
          <w:sz w:val="22"/>
          <w:szCs w:val="22"/>
        </w:rPr>
      </w:pPr>
      <w:r>
        <w:t>4.3.2 Time Reporting Options</w:t>
      </w:r>
    </w:p>
    <w:p w14:paraId="135511A4">
      <w:pPr>
        <w:spacing w:after="160"/>
        <w:jc w:val="both"/>
      </w:pPr>
      <w:r>
        <w:rPr>
          <w:color w:val="000000"/>
          <w:sz w:val="20"/>
          <w:szCs w:val="20"/>
        </w:rPr>
        <w:t>Employees select the time block that reflects actual time spent completing the assigned work:</w:t>
      </w:r>
    </w:p>
    <w:p w14:paraId="6B574BDF">
      <w:pPr>
        <w:spacing w:before="1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050344FD">
        <w:trPr>
          <w:tblHeader/>
        </w:trPr>
        <w:tc>
          <w:tcPr>
            <w:tcW w:w="4680" w:type="dxa"/>
            <w:shd w:val="clear" w:color="auto" w:fill="1F4E79"/>
          </w:tcPr>
          <w:p w14:paraId="608397AA">
            <w:r>
              <w:rPr>
                <w:b/>
                <w:bCs/>
                <w:color w:val="FFFFFF"/>
                <w:sz w:val="20"/>
                <w:szCs w:val="20"/>
              </w:rPr>
              <w:t>Time Block</w:t>
            </w:r>
          </w:p>
        </w:tc>
        <w:tc>
          <w:tcPr>
            <w:tcW w:w="4680" w:type="dxa"/>
            <w:shd w:val="clear" w:color="auto" w:fill="1F4E79"/>
          </w:tcPr>
          <w:p w14:paraId="31E4393D">
            <w:r>
              <w:rPr>
                <w:b/>
                <w:bCs/>
                <w:color w:val="FFFFFF"/>
                <w:sz w:val="20"/>
                <w:szCs w:val="20"/>
              </w:rPr>
              <w:t>Usage Condition</w:t>
            </w:r>
          </w:p>
        </w:tc>
      </w:tr>
      <w:tr w14:paraId="3BA66A8C">
        <w:tc>
          <w:tcPr>
            <w:tcW w:w="4680" w:type="dxa"/>
            <w:shd w:val="clear" w:color="auto" w:fill="FFFFFF"/>
          </w:tcPr>
          <w:p w14:paraId="2DA56F9E">
            <w:r>
              <w:rPr>
                <w:sz w:val="20"/>
                <w:szCs w:val="20"/>
              </w:rPr>
              <w:t>1 hour</w:t>
            </w:r>
          </w:p>
        </w:tc>
        <w:tc>
          <w:tcPr>
            <w:tcW w:w="4680" w:type="dxa"/>
            <w:shd w:val="clear" w:color="auto" w:fill="FFFFFF"/>
          </w:tcPr>
          <w:p w14:paraId="515B3779">
            <w:r>
              <w:rPr>
                <w:sz w:val="20"/>
                <w:szCs w:val="20"/>
              </w:rPr>
              <w:t>Very short, well-scoped tasks completed in full</w:t>
            </w:r>
          </w:p>
        </w:tc>
      </w:tr>
      <w:tr w14:paraId="7A12D9AE">
        <w:tc>
          <w:tcPr>
            <w:tcW w:w="4680" w:type="dxa"/>
            <w:shd w:val="clear" w:color="auto" w:fill="F2F2F2"/>
          </w:tcPr>
          <w:p w14:paraId="49F8BDAB">
            <w:r>
              <w:rPr>
                <w:sz w:val="20"/>
                <w:szCs w:val="20"/>
              </w:rPr>
              <w:t>2 hours</w:t>
            </w:r>
          </w:p>
        </w:tc>
        <w:tc>
          <w:tcPr>
            <w:tcW w:w="4680" w:type="dxa"/>
            <w:shd w:val="clear" w:color="auto" w:fill="F2F2F2"/>
          </w:tcPr>
          <w:p w14:paraId="41559977">
            <w:r>
              <w:rPr>
                <w:sz w:val="20"/>
                <w:szCs w:val="20"/>
              </w:rPr>
              <w:t>Short tasks completed to required quality</w:t>
            </w:r>
          </w:p>
        </w:tc>
      </w:tr>
      <w:tr w14:paraId="1663D9BC">
        <w:tc>
          <w:tcPr>
            <w:tcW w:w="4680" w:type="dxa"/>
            <w:shd w:val="clear" w:color="auto" w:fill="FFFFFF"/>
          </w:tcPr>
          <w:p w14:paraId="096C4AF2">
            <w:r>
              <w:rPr>
                <w:sz w:val="20"/>
                <w:szCs w:val="20"/>
              </w:rPr>
              <w:t>4 hours</w:t>
            </w:r>
          </w:p>
        </w:tc>
        <w:tc>
          <w:tcPr>
            <w:tcW w:w="4680" w:type="dxa"/>
            <w:shd w:val="clear" w:color="auto" w:fill="FFFFFF"/>
          </w:tcPr>
          <w:p w14:paraId="2D2E3833">
            <w:r>
              <w:rPr>
                <w:sz w:val="20"/>
                <w:szCs w:val="20"/>
              </w:rPr>
              <w:t>Half-day equivalent work completed</w:t>
            </w:r>
          </w:p>
        </w:tc>
      </w:tr>
      <w:tr w14:paraId="2EDFA061">
        <w:tc>
          <w:tcPr>
            <w:tcW w:w="4680" w:type="dxa"/>
            <w:shd w:val="clear" w:color="auto" w:fill="F2F2F2"/>
          </w:tcPr>
          <w:p w14:paraId="128E9737">
            <w:r>
              <w:rPr>
                <w:sz w:val="20"/>
                <w:szCs w:val="20"/>
              </w:rPr>
              <w:t>6 hours</w:t>
            </w:r>
          </w:p>
        </w:tc>
        <w:tc>
          <w:tcPr>
            <w:tcW w:w="4680" w:type="dxa"/>
            <w:shd w:val="clear" w:color="auto" w:fill="F2F2F2"/>
          </w:tcPr>
          <w:p w14:paraId="37AB0DD2">
            <w:r>
              <w:rPr>
                <w:sz w:val="20"/>
                <w:szCs w:val="20"/>
              </w:rPr>
              <w:t>Near-full day of work completed</w:t>
            </w:r>
          </w:p>
        </w:tc>
      </w:tr>
    </w:tbl>
    <w:p w14:paraId="2C7CA034">
      <w:pPr>
        <w:spacing w:before="200"/>
      </w:pPr>
    </w:p>
    <w:p w14:paraId="4576A432">
      <w:pPr>
        <w:spacing w:after="160"/>
        <w:jc w:val="both"/>
      </w:pPr>
      <w:r>
        <w:rPr>
          <w:color w:val="000000"/>
          <w:sz w:val="20"/>
          <w:szCs w:val="20"/>
        </w:rPr>
        <w:t>Employees are not required to report 8 hours if the assigned work has been completed. Artificial inflation of time logs is discouraged and tracked.</w:t>
      </w:r>
    </w:p>
    <w:p w14:paraId="5DDE1245">
      <w:pPr>
        <w:spacing w:before="200"/>
      </w:pPr>
    </w:p>
    <w:p w14:paraId="69E26352">
      <w:pPr>
        <w:pStyle w:val="4"/>
        <w:spacing w:before="240" w:after="120"/>
        <w:rPr>
          <w:b/>
          <w:bCs/>
          <w:color w:val="404040"/>
          <w:sz w:val="22"/>
          <w:szCs w:val="22"/>
        </w:rPr>
      </w:pPr>
      <w:r>
        <w:t>4.3.3 Quality Assessment</w:t>
      </w:r>
    </w:p>
    <w:p w14:paraId="10FCF8C4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Quality is rated by the reviewing manager on a defined scale.</w:t>
      </w:r>
    </w:p>
    <w:p w14:paraId="4B4EF62E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Quality scores feed directly into the employee's Efficiency Score.</w:t>
      </w:r>
    </w:p>
    <w:p w14:paraId="000844D4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Low quality scores trigger a review flag — visible to HR.</w:t>
      </w:r>
    </w:p>
    <w:p w14:paraId="78B79438">
      <w:r>
        <w:br w:type="page"/>
      </w:r>
    </w:p>
    <w:p w14:paraId="281211E9">
      <w:pPr>
        <w:pStyle w:val="3"/>
        <w:spacing w:before="320" w:after="160"/>
        <w:rPr>
          <w:b/>
          <w:bCs/>
          <w:color w:val="2E75B6"/>
          <w:sz w:val="24"/>
          <w:szCs w:val="24"/>
        </w:rPr>
      </w:pPr>
      <w:bookmarkStart w:id="11" w:name="_Toc666592912"/>
      <w:r>
        <w:t>4.4 Dual-Component Salary Structure</w:t>
      </w:r>
      <w:bookmarkEnd w:id="11"/>
    </w:p>
    <w:p w14:paraId="46334627">
      <w:pPr>
        <w:spacing w:after="160"/>
        <w:jc w:val="both"/>
      </w:pPr>
      <w:r>
        <w:rPr>
          <w:color w:val="000000"/>
          <w:sz w:val="20"/>
          <w:szCs w:val="20"/>
        </w:rPr>
        <w:t>The compensation model for each employee consists of two distinct components. This separation ensures that professional expertise is recognized independent of daily time reporting.</w:t>
      </w:r>
    </w:p>
    <w:p w14:paraId="14F51E33">
      <w:pPr>
        <w:pStyle w:val="4"/>
        <w:spacing w:before="240" w:after="120"/>
        <w:rPr>
          <w:b/>
          <w:bCs/>
          <w:color w:val="404040"/>
          <w:sz w:val="22"/>
          <w:szCs w:val="22"/>
        </w:rPr>
      </w:pPr>
      <w:r>
        <w:t>Component 1 — Base Professional Value Salary (Majority)</w:t>
      </w:r>
    </w:p>
    <w:p w14:paraId="596D5A91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Constitutes the majority of total compensation (percentage configurable by HR/Finance).</w:t>
      </w:r>
    </w:p>
    <w:p w14:paraId="6C165ABB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Calculated directly from the employee's BPV Score.</w:t>
      </w:r>
    </w:p>
    <w:p w14:paraId="3ACE94F9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Reviewed and updated at each performance review cycle.</w:t>
      </w:r>
    </w:p>
    <w:p w14:paraId="6F3E1EF7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Independent of daily time reporting.</w:t>
      </w:r>
    </w:p>
    <w:p w14:paraId="713E2A7E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Reflects the employee's academic qualifications, experience, skills, and market value.</w:t>
      </w:r>
    </w:p>
    <w:p w14:paraId="5A8BEB27">
      <w:pPr>
        <w:spacing w:before="200"/>
      </w:pPr>
    </w:p>
    <w:p w14:paraId="71F783E8">
      <w:pPr>
        <w:pStyle w:val="4"/>
        <w:spacing w:before="240" w:after="120"/>
        <w:rPr>
          <w:b/>
          <w:bCs/>
          <w:color w:val="404040"/>
          <w:sz w:val="22"/>
          <w:szCs w:val="22"/>
        </w:rPr>
      </w:pPr>
      <w:r>
        <w:t>Component 2 — Time Reporting Value (Minority)</w:t>
      </w:r>
    </w:p>
    <w:p w14:paraId="770FE5FF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A small variable component — compensates for operational work tracking.</w:t>
      </w:r>
    </w:p>
    <w:p w14:paraId="652C3B13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Computed based on time entries submitted and accepted for the reporting period.</w:t>
      </w:r>
    </w:p>
    <w:p w14:paraId="328E50DE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Does not dominate overall compensation.</w:t>
      </w:r>
    </w:p>
    <w:p w14:paraId="41A0D7DB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Designed to cover administrative overhead, not to measure performance.</w:t>
      </w:r>
    </w:p>
    <w:p w14:paraId="07AA0714">
      <w:pPr>
        <w:spacing w:before="200"/>
      </w:pPr>
    </w:p>
    <w:p w14:paraId="2E2A184B">
      <w:pPr>
        <w:pStyle w:val="4"/>
        <w:spacing w:before="240" w:after="120"/>
        <w:rPr>
          <w:b/>
          <w:bCs/>
          <w:color w:val="404040"/>
          <w:sz w:val="22"/>
          <w:szCs w:val="22"/>
        </w:rPr>
      </w:pPr>
      <w:r>
        <w:t>Configuration</w:t>
      </w:r>
    </w:p>
    <w:p w14:paraId="2869FCD7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HR and Finance administrators configure the Component 1 / Component 2 split ratio.</w:t>
      </w:r>
    </w:p>
    <w:p w14:paraId="5D48B7F9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The split ratio can differ by employee grade, department, or designation.</w:t>
      </w:r>
    </w:p>
    <w:p w14:paraId="4966CD1A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All configurations are version-controlled with effective dates.</w:t>
      </w:r>
    </w:p>
    <w:p w14:paraId="0BC43F77">
      <w:r>
        <w:br w:type="page"/>
      </w:r>
    </w:p>
    <w:p w14:paraId="278ED1CD">
      <w:pPr>
        <w:pStyle w:val="3"/>
        <w:spacing w:before="320" w:after="160"/>
        <w:rPr>
          <w:b/>
          <w:bCs/>
          <w:color w:val="2E75B6"/>
          <w:sz w:val="24"/>
          <w:szCs w:val="24"/>
        </w:rPr>
      </w:pPr>
      <w:bookmarkStart w:id="12" w:name="_Toc4885585"/>
      <w:r>
        <w:t>4.5 Efficiency Evaluation</w:t>
      </w:r>
      <w:bookmarkEnd w:id="12"/>
    </w:p>
    <w:p w14:paraId="59886AB0">
      <w:pPr>
        <w:spacing w:after="160"/>
        <w:jc w:val="both"/>
      </w:pPr>
      <w:r>
        <w:rPr>
          <w:color w:val="000000"/>
          <w:sz w:val="20"/>
          <w:szCs w:val="20"/>
        </w:rPr>
        <w:t>The Efficiency Score tracks how effectively an employee delivers work relative to time consumed and quality achieved. This score is a key driver of annual performance incentives.</w:t>
      </w:r>
    </w:p>
    <w:p w14:paraId="2894CCB5">
      <w:pPr>
        <w:pStyle w:val="4"/>
        <w:spacing w:before="240" w:after="120"/>
        <w:rPr>
          <w:b/>
          <w:bCs/>
          <w:color w:val="404040"/>
          <w:sz w:val="22"/>
          <w:szCs w:val="22"/>
        </w:rPr>
      </w:pPr>
      <w:r>
        <w:t>4.5.1 Efficiency Score Calculation</w:t>
      </w:r>
    </w:p>
    <w:p w14:paraId="4A6BE5CE">
      <w:pPr>
        <w:spacing w:after="160"/>
        <w:jc w:val="both"/>
      </w:pPr>
      <w:r>
        <w:rPr>
          <w:color w:val="000000"/>
          <w:sz w:val="20"/>
          <w:szCs w:val="20"/>
        </w:rPr>
        <w:t>Efficiency Score = f(Task Completion Rate, Quality Score, Time Consumed vs. Benchmark)</w:t>
      </w:r>
    </w:p>
    <w:p w14:paraId="4008CDB0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Task Completion Rate: percentage of assigned tasks delivered on time.</w:t>
      </w:r>
    </w:p>
    <w:p w14:paraId="223226C7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Quality Score: average quality rating received from reviewers.</w:t>
      </w:r>
    </w:p>
    <w:p w14:paraId="644374B6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Time Efficiency: comparison of time reported vs. benchmark time for similar tasks.</w:t>
      </w:r>
    </w:p>
    <w:p w14:paraId="7298A995">
      <w:pPr>
        <w:spacing w:before="200"/>
      </w:pPr>
    </w:p>
    <w:p w14:paraId="37E9CDF0">
      <w:pPr>
        <w:pStyle w:val="4"/>
        <w:spacing w:before="240" w:after="120"/>
        <w:rPr>
          <w:b/>
          <w:bCs/>
          <w:color w:val="404040"/>
          <w:sz w:val="22"/>
          <w:szCs w:val="22"/>
        </w:rPr>
      </w:pPr>
      <w:r>
        <w:t>4.5.2 Example Scenarios</w:t>
      </w:r>
    </w:p>
    <w:p w14:paraId="4DE54BE9">
      <w:pPr>
        <w:spacing w:before="1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7FCC01D9">
        <w:trPr>
          <w:tblHeader/>
        </w:trPr>
        <w:tc>
          <w:tcPr>
            <w:tcW w:w="4680" w:type="dxa"/>
            <w:shd w:val="clear" w:color="auto" w:fill="1F4E79"/>
          </w:tcPr>
          <w:p w14:paraId="260E6D3F"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4680" w:type="dxa"/>
            <w:shd w:val="clear" w:color="auto" w:fill="1F4E79"/>
          </w:tcPr>
          <w:p w14:paraId="59FE4465">
            <w:r>
              <w:rPr>
                <w:b/>
                <w:bCs/>
                <w:color w:val="FFFFFF"/>
                <w:sz w:val="20"/>
                <w:szCs w:val="20"/>
              </w:rPr>
              <w:t>Outcome</w:t>
            </w:r>
          </w:p>
        </w:tc>
      </w:tr>
      <w:tr w14:paraId="777E2432">
        <w:tc>
          <w:tcPr>
            <w:tcW w:w="4680" w:type="dxa"/>
            <w:shd w:val="clear" w:color="auto" w:fill="FFFFFF"/>
          </w:tcPr>
          <w:p w14:paraId="62774BDA">
            <w:r>
              <w:rPr>
                <w:sz w:val="20"/>
                <w:szCs w:val="20"/>
              </w:rPr>
              <w:t>Employee completes task in 2 hrs, high quality</w:t>
            </w:r>
          </w:p>
        </w:tc>
        <w:tc>
          <w:tcPr>
            <w:tcW w:w="4680" w:type="dxa"/>
            <w:shd w:val="clear" w:color="auto" w:fill="FFFFFF"/>
          </w:tcPr>
          <w:p w14:paraId="5F24E13A">
            <w:r>
              <w:rPr>
                <w:sz w:val="20"/>
                <w:szCs w:val="20"/>
              </w:rPr>
              <w:t>High efficiency score → higher annual incentive</w:t>
            </w:r>
          </w:p>
        </w:tc>
      </w:tr>
      <w:tr w14:paraId="3453FD26">
        <w:tc>
          <w:tcPr>
            <w:tcW w:w="4680" w:type="dxa"/>
            <w:shd w:val="clear" w:color="auto" w:fill="F2F2F2"/>
          </w:tcPr>
          <w:p w14:paraId="6DBD5E80">
            <w:r>
              <w:rPr>
                <w:sz w:val="20"/>
                <w:szCs w:val="20"/>
              </w:rPr>
              <w:t>Employee completes same task in 6 hrs, same quality</w:t>
            </w:r>
          </w:p>
        </w:tc>
        <w:tc>
          <w:tcPr>
            <w:tcW w:w="4680" w:type="dxa"/>
            <w:shd w:val="clear" w:color="auto" w:fill="F2F2F2"/>
          </w:tcPr>
          <w:p w14:paraId="20FCD3F4">
            <w:r>
              <w:rPr>
                <w:sz w:val="20"/>
                <w:szCs w:val="20"/>
              </w:rPr>
              <w:t>Lower efficiency score → lower incentive</w:t>
            </w:r>
          </w:p>
        </w:tc>
      </w:tr>
      <w:tr w14:paraId="02FFE706">
        <w:tc>
          <w:tcPr>
            <w:tcW w:w="4680" w:type="dxa"/>
            <w:shd w:val="clear" w:color="auto" w:fill="FFFFFF"/>
          </w:tcPr>
          <w:p w14:paraId="7DBD8A8C">
            <w:r>
              <w:rPr>
                <w:sz w:val="20"/>
                <w:szCs w:val="20"/>
              </w:rPr>
              <w:t>Employee completes task in 2 hrs, poor quality, revision needed</w:t>
            </w:r>
          </w:p>
        </w:tc>
        <w:tc>
          <w:tcPr>
            <w:tcW w:w="4680" w:type="dxa"/>
            <w:shd w:val="clear" w:color="auto" w:fill="FFFFFF"/>
          </w:tcPr>
          <w:p w14:paraId="038160C9">
            <w:r>
              <w:rPr>
                <w:sz w:val="20"/>
                <w:szCs w:val="20"/>
              </w:rPr>
              <w:t>Quality penalty applied → neutral or low score</w:t>
            </w:r>
          </w:p>
        </w:tc>
      </w:tr>
      <w:tr w14:paraId="500F8A89">
        <w:tc>
          <w:tcPr>
            <w:tcW w:w="4680" w:type="dxa"/>
            <w:shd w:val="clear" w:color="auto" w:fill="F2F2F2"/>
          </w:tcPr>
          <w:p w14:paraId="09F1EC6B">
            <w:r>
              <w:rPr>
                <w:sz w:val="20"/>
                <w:szCs w:val="20"/>
              </w:rPr>
              <w:t>Employee consistently delivers under benchmark with high quality</w:t>
            </w:r>
          </w:p>
        </w:tc>
        <w:tc>
          <w:tcPr>
            <w:tcW w:w="4680" w:type="dxa"/>
            <w:shd w:val="clear" w:color="auto" w:fill="F2F2F2"/>
          </w:tcPr>
          <w:p w14:paraId="29EDE326">
            <w:r>
              <w:rPr>
                <w:sz w:val="20"/>
                <w:szCs w:val="20"/>
              </w:rPr>
              <w:t>Top efficiency tier → maximum incentive eligibility</w:t>
            </w:r>
          </w:p>
        </w:tc>
      </w:tr>
    </w:tbl>
    <w:p w14:paraId="6DBE5F8A">
      <w:pPr>
        <w:spacing w:before="200"/>
      </w:pPr>
    </w:p>
    <w:p w14:paraId="10E04026">
      <w:pPr>
        <w:spacing w:after="160"/>
        <w:jc w:val="both"/>
      </w:pPr>
      <w:r>
        <w:rPr>
          <w:color w:val="000000"/>
          <w:sz w:val="20"/>
          <w:szCs w:val="20"/>
        </w:rPr>
        <w:t>The system does not penalize an employee simply for reporting fewer hours. It rewards quality delivery at reduced time. The combination of low time + high quality = best outcome.</w:t>
      </w:r>
    </w:p>
    <w:p w14:paraId="57EF0736">
      <w:r>
        <w:br w:type="page"/>
      </w:r>
    </w:p>
    <w:p w14:paraId="74824040">
      <w:pPr>
        <w:pStyle w:val="3"/>
        <w:spacing w:before="320" w:after="160"/>
        <w:rPr>
          <w:b/>
          <w:bCs/>
          <w:color w:val="2E75B6"/>
          <w:sz w:val="24"/>
          <w:szCs w:val="24"/>
        </w:rPr>
      </w:pPr>
      <w:bookmarkStart w:id="13" w:name="_Toc507648509"/>
      <w:r>
        <w:t>4.6 Employee Data Ownership Registry</w:t>
      </w:r>
      <w:bookmarkEnd w:id="13"/>
    </w:p>
    <w:p w14:paraId="696EF47B">
      <w:pPr>
        <w:spacing w:after="160"/>
        <w:jc w:val="both"/>
      </w:pPr>
      <w:r>
        <w:rPr>
          <w:color w:val="000000"/>
          <w:sz w:val="20"/>
          <w:szCs w:val="20"/>
        </w:rPr>
        <w:t>Every digital asset created or contributed to by an employee must be registered in the Data Ownership Registry with complete ownership metadata. This creates a permanent, traceable record of all organizational knowledge and intellectual property.</w:t>
      </w:r>
    </w:p>
    <w:p w14:paraId="49C945FD">
      <w:pPr>
        <w:pStyle w:val="4"/>
        <w:spacing w:before="240" w:after="120"/>
        <w:rPr>
          <w:b/>
          <w:bCs/>
          <w:color w:val="404040"/>
          <w:sz w:val="22"/>
          <w:szCs w:val="22"/>
        </w:rPr>
      </w:pPr>
      <w:r>
        <w:t>4.6.1 Asset Types Covered</w:t>
      </w:r>
    </w:p>
    <w:p w14:paraId="3572E10E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Source code and code modules</w:t>
      </w:r>
    </w:p>
    <w:p w14:paraId="19D2EC5A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Technical documents and specifications</w:t>
      </w:r>
    </w:p>
    <w:p w14:paraId="02950776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Design files and wireframes</w:t>
      </w:r>
    </w:p>
    <w:p w14:paraId="73B10640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Reports and dashboards</w:t>
      </w:r>
    </w:p>
    <w:p w14:paraId="2B7EA376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Data models and database schemas</w:t>
      </w:r>
    </w:p>
    <w:p w14:paraId="6B3972EE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Automation scripts and pipelines</w:t>
      </w:r>
    </w:p>
    <w:p w14:paraId="4BD70C44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Knowledge articles and wikis</w:t>
      </w:r>
    </w:p>
    <w:p w14:paraId="71269379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Architecture documents and ADRs</w:t>
      </w:r>
    </w:p>
    <w:p w14:paraId="075C1E45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AI prompts and prompt libraries</w:t>
      </w:r>
    </w:p>
    <w:p w14:paraId="29A41D6C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Configuration files and environment definitions</w:t>
      </w:r>
    </w:p>
    <w:p w14:paraId="674F9E17">
      <w:pPr>
        <w:spacing w:before="200"/>
      </w:pPr>
    </w:p>
    <w:p w14:paraId="1EE22AA9">
      <w:pPr>
        <w:pStyle w:val="4"/>
        <w:spacing w:before="240" w:after="120"/>
        <w:rPr>
          <w:b/>
          <w:bCs/>
          <w:color w:val="404040"/>
          <w:sz w:val="22"/>
          <w:szCs w:val="22"/>
        </w:rPr>
      </w:pPr>
      <w:r>
        <w:t>4.6.2 Ownership Metadata per Asset</w:t>
      </w:r>
    </w:p>
    <w:p w14:paraId="7EA72A54">
      <w:pPr>
        <w:spacing w:before="1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719CB685">
        <w:trPr>
          <w:tblHeader/>
        </w:trPr>
        <w:tc>
          <w:tcPr>
            <w:tcW w:w="4680" w:type="dxa"/>
            <w:shd w:val="clear" w:color="auto" w:fill="1F4E79"/>
          </w:tcPr>
          <w:p w14:paraId="74FC1444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4680" w:type="dxa"/>
            <w:shd w:val="clear" w:color="auto" w:fill="1F4E79"/>
          </w:tcPr>
          <w:p w14:paraId="66A9DF1D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114CFA08">
        <w:tc>
          <w:tcPr>
            <w:tcW w:w="4680" w:type="dxa"/>
            <w:shd w:val="clear" w:color="auto" w:fill="FFFFFF"/>
          </w:tcPr>
          <w:p w14:paraId="73E2820A">
            <w:r>
              <w:rPr>
                <w:sz w:val="20"/>
                <w:szCs w:val="20"/>
              </w:rPr>
              <w:t>Asset ID</w:t>
            </w:r>
          </w:p>
        </w:tc>
        <w:tc>
          <w:tcPr>
            <w:tcW w:w="4680" w:type="dxa"/>
            <w:shd w:val="clear" w:color="auto" w:fill="FFFFFF"/>
          </w:tcPr>
          <w:p w14:paraId="46BD1548">
            <w:r>
              <w:rPr>
                <w:sz w:val="20"/>
                <w:szCs w:val="20"/>
              </w:rPr>
              <w:t>Unique system-generated identifier</w:t>
            </w:r>
          </w:p>
        </w:tc>
      </w:tr>
      <w:tr w14:paraId="7FE6D782">
        <w:tc>
          <w:tcPr>
            <w:tcW w:w="4680" w:type="dxa"/>
            <w:shd w:val="clear" w:color="auto" w:fill="F2F2F2"/>
          </w:tcPr>
          <w:p w14:paraId="298A2AA6">
            <w:r>
              <w:rPr>
                <w:sz w:val="20"/>
                <w:szCs w:val="20"/>
              </w:rPr>
              <w:t>Asset Name</w:t>
            </w:r>
          </w:p>
        </w:tc>
        <w:tc>
          <w:tcPr>
            <w:tcW w:w="4680" w:type="dxa"/>
            <w:shd w:val="clear" w:color="auto" w:fill="F2F2F2"/>
          </w:tcPr>
          <w:p w14:paraId="632328E0">
            <w:r>
              <w:rPr>
                <w:sz w:val="20"/>
                <w:szCs w:val="20"/>
              </w:rPr>
              <w:t>Human-readable name of the asset</w:t>
            </w:r>
          </w:p>
        </w:tc>
      </w:tr>
      <w:tr w14:paraId="2FF30B44">
        <w:tc>
          <w:tcPr>
            <w:tcW w:w="4680" w:type="dxa"/>
            <w:shd w:val="clear" w:color="auto" w:fill="FFFFFF"/>
          </w:tcPr>
          <w:p w14:paraId="4B7F16C3">
            <w:r>
              <w:rPr>
                <w:sz w:val="20"/>
                <w:szCs w:val="20"/>
              </w:rPr>
              <w:t>Asset Type</w:t>
            </w:r>
          </w:p>
        </w:tc>
        <w:tc>
          <w:tcPr>
            <w:tcW w:w="4680" w:type="dxa"/>
            <w:shd w:val="clear" w:color="auto" w:fill="FFFFFF"/>
          </w:tcPr>
          <w:p w14:paraId="115C9D98">
            <w:r>
              <w:rPr>
                <w:sz w:val="20"/>
                <w:szCs w:val="20"/>
              </w:rPr>
              <w:t>Category from the defined asset type list</w:t>
            </w:r>
          </w:p>
        </w:tc>
      </w:tr>
      <w:tr w14:paraId="433BC510">
        <w:tc>
          <w:tcPr>
            <w:tcW w:w="4680" w:type="dxa"/>
            <w:shd w:val="clear" w:color="auto" w:fill="F2F2F2"/>
          </w:tcPr>
          <w:p w14:paraId="579AD916">
            <w:r>
              <w:rPr>
                <w:sz w:val="20"/>
                <w:szCs w:val="20"/>
              </w:rPr>
              <w:t>Creator</w:t>
            </w:r>
          </w:p>
        </w:tc>
        <w:tc>
          <w:tcPr>
            <w:tcW w:w="4680" w:type="dxa"/>
            <w:shd w:val="clear" w:color="auto" w:fill="F2F2F2"/>
          </w:tcPr>
          <w:p w14:paraId="135535D5">
            <w:r>
              <w:rPr>
                <w:sz w:val="20"/>
                <w:szCs w:val="20"/>
              </w:rPr>
              <w:t>Employee who originally created the asset</w:t>
            </w:r>
          </w:p>
        </w:tc>
      </w:tr>
      <w:tr w14:paraId="2E086B8B">
        <w:tc>
          <w:tcPr>
            <w:tcW w:w="4680" w:type="dxa"/>
            <w:shd w:val="clear" w:color="auto" w:fill="FFFFFF"/>
          </w:tcPr>
          <w:p w14:paraId="73A60263">
            <w:r>
              <w:rPr>
                <w:sz w:val="20"/>
                <w:szCs w:val="20"/>
              </w:rPr>
              <w:t>Contributors</w:t>
            </w:r>
          </w:p>
        </w:tc>
        <w:tc>
          <w:tcPr>
            <w:tcW w:w="4680" w:type="dxa"/>
            <w:shd w:val="clear" w:color="auto" w:fill="FFFFFF"/>
          </w:tcPr>
          <w:p w14:paraId="7CB6DDBA">
            <w:r>
              <w:rPr>
                <w:sz w:val="20"/>
                <w:szCs w:val="20"/>
              </w:rPr>
              <w:t>All employees who contributed to the asset</w:t>
            </w:r>
          </w:p>
        </w:tc>
      </w:tr>
      <w:tr w14:paraId="1D898FC9">
        <w:tc>
          <w:tcPr>
            <w:tcW w:w="4680" w:type="dxa"/>
            <w:shd w:val="clear" w:color="auto" w:fill="F2F2F2"/>
          </w:tcPr>
          <w:p w14:paraId="3279E999">
            <w:r>
              <w:rPr>
                <w:sz w:val="20"/>
                <w:szCs w:val="20"/>
              </w:rPr>
              <w:t>Reviewer</w:t>
            </w:r>
          </w:p>
        </w:tc>
        <w:tc>
          <w:tcPr>
            <w:tcW w:w="4680" w:type="dxa"/>
            <w:shd w:val="clear" w:color="auto" w:fill="F2F2F2"/>
          </w:tcPr>
          <w:p w14:paraId="06DBF740">
            <w:r>
              <w:rPr>
                <w:sz w:val="20"/>
                <w:szCs w:val="20"/>
              </w:rPr>
              <w:t>Employee who reviewed the asset</w:t>
            </w:r>
          </w:p>
        </w:tc>
      </w:tr>
      <w:tr w14:paraId="50BBE62B">
        <w:tc>
          <w:tcPr>
            <w:tcW w:w="4680" w:type="dxa"/>
            <w:shd w:val="clear" w:color="auto" w:fill="FFFFFF"/>
          </w:tcPr>
          <w:p w14:paraId="7D1BA012">
            <w:r>
              <w:rPr>
                <w:sz w:val="20"/>
                <w:szCs w:val="20"/>
              </w:rPr>
              <w:t>Approver</w:t>
            </w:r>
          </w:p>
        </w:tc>
        <w:tc>
          <w:tcPr>
            <w:tcW w:w="4680" w:type="dxa"/>
            <w:shd w:val="clear" w:color="auto" w:fill="FFFFFF"/>
          </w:tcPr>
          <w:p w14:paraId="35CB9C16">
            <w:r>
              <w:rPr>
                <w:sz w:val="20"/>
                <w:szCs w:val="20"/>
              </w:rPr>
              <w:t>Employee or manager who approved the asset</w:t>
            </w:r>
          </w:p>
        </w:tc>
      </w:tr>
      <w:tr w14:paraId="0E0241FA">
        <w:tc>
          <w:tcPr>
            <w:tcW w:w="4680" w:type="dxa"/>
            <w:shd w:val="clear" w:color="auto" w:fill="F2F2F2"/>
          </w:tcPr>
          <w:p w14:paraId="4914E221">
            <w:r>
              <w:rPr>
                <w:sz w:val="20"/>
                <w:szCs w:val="20"/>
              </w:rPr>
              <w:t>Current Owner</w:t>
            </w:r>
          </w:p>
        </w:tc>
        <w:tc>
          <w:tcPr>
            <w:tcW w:w="4680" w:type="dxa"/>
            <w:shd w:val="clear" w:color="auto" w:fill="F2F2F2"/>
          </w:tcPr>
          <w:p w14:paraId="47077D75">
            <w:r>
              <w:rPr>
                <w:sz w:val="20"/>
                <w:szCs w:val="20"/>
              </w:rPr>
              <w:t>Active responsible owner</w:t>
            </w:r>
          </w:p>
        </w:tc>
      </w:tr>
      <w:tr w14:paraId="0B0F0AE2">
        <w:tc>
          <w:tcPr>
            <w:tcW w:w="4680" w:type="dxa"/>
            <w:shd w:val="clear" w:color="auto" w:fill="FFFFFF"/>
          </w:tcPr>
          <w:p w14:paraId="25267A24">
            <w:r>
              <w:rPr>
                <w:sz w:val="20"/>
                <w:szCs w:val="20"/>
              </w:rPr>
              <w:t>Creation Date</w:t>
            </w:r>
          </w:p>
        </w:tc>
        <w:tc>
          <w:tcPr>
            <w:tcW w:w="4680" w:type="dxa"/>
            <w:shd w:val="clear" w:color="auto" w:fill="FFFFFF"/>
          </w:tcPr>
          <w:p w14:paraId="53962BE0">
            <w:r>
              <w:rPr>
                <w:sz w:val="20"/>
                <w:szCs w:val="20"/>
              </w:rPr>
              <w:t>Date of first creation</w:t>
            </w:r>
          </w:p>
        </w:tc>
      </w:tr>
      <w:tr w14:paraId="5D09F038">
        <w:tc>
          <w:tcPr>
            <w:tcW w:w="4680" w:type="dxa"/>
            <w:shd w:val="clear" w:color="auto" w:fill="F2F2F2"/>
          </w:tcPr>
          <w:p w14:paraId="4120F6C3">
            <w:r>
              <w:rPr>
                <w:sz w:val="20"/>
                <w:szCs w:val="20"/>
              </w:rPr>
              <w:t>Last Modified</w:t>
            </w:r>
          </w:p>
        </w:tc>
        <w:tc>
          <w:tcPr>
            <w:tcW w:w="4680" w:type="dxa"/>
            <w:shd w:val="clear" w:color="auto" w:fill="F2F2F2"/>
          </w:tcPr>
          <w:p w14:paraId="57C91274">
            <w:r>
              <w:rPr>
                <w:sz w:val="20"/>
                <w:szCs w:val="20"/>
              </w:rPr>
              <w:t>Date of most recent change</w:t>
            </w:r>
          </w:p>
        </w:tc>
      </w:tr>
      <w:tr w14:paraId="6061FE23">
        <w:tc>
          <w:tcPr>
            <w:tcW w:w="4680" w:type="dxa"/>
            <w:shd w:val="clear" w:color="auto" w:fill="FFFFFF"/>
          </w:tcPr>
          <w:p w14:paraId="1B12AF9B">
            <w:r>
              <w:rPr>
                <w:sz w:val="20"/>
                <w:szCs w:val="20"/>
              </w:rPr>
              <w:t>Version</w:t>
            </w:r>
          </w:p>
        </w:tc>
        <w:tc>
          <w:tcPr>
            <w:tcW w:w="4680" w:type="dxa"/>
            <w:shd w:val="clear" w:color="auto" w:fill="FFFFFF"/>
          </w:tcPr>
          <w:p w14:paraId="04144EBD">
            <w:r>
              <w:rPr>
                <w:sz w:val="20"/>
                <w:szCs w:val="20"/>
              </w:rPr>
              <w:t>Current version number</w:t>
            </w:r>
          </w:p>
        </w:tc>
      </w:tr>
      <w:tr w14:paraId="4D98C08A">
        <w:tc>
          <w:tcPr>
            <w:tcW w:w="4680" w:type="dxa"/>
            <w:shd w:val="clear" w:color="auto" w:fill="F2F2F2"/>
          </w:tcPr>
          <w:p w14:paraId="29B64FA3">
            <w:r>
              <w:rPr>
                <w:sz w:val="20"/>
                <w:szCs w:val="20"/>
              </w:rPr>
              <w:t>Version History</w:t>
            </w:r>
          </w:p>
        </w:tc>
        <w:tc>
          <w:tcPr>
            <w:tcW w:w="4680" w:type="dxa"/>
            <w:shd w:val="clear" w:color="auto" w:fill="F2F2F2"/>
          </w:tcPr>
          <w:p w14:paraId="071056E6">
            <w:r>
              <w:rPr>
                <w:sz w:val="20"/>
                <w:szCs w:val="20"/>
              </w:rPr>
              <w:t>Full changelog with date and contributor per version</w:t>
            </w:r>
          </w:p>
        </w:tc>
      </w:tr>
      <w:tr w14:paraId="668606F5">
        <w:tc>
          <w:tcPr>
            <w:tcW w:w="4680" w:type="dxa"/>
            <w:shd w:val="clear" w:color="auto" w:fill="FFFFFF"/>
          </w:tcPr>
          <w:p w14:paraId="2B9B5589">
            <w:r>
              <w:rPr>
                <w:sz w:val="20"/>
                <w:szCs w:val="20"/>
              </w:rPr>
              <w:t>Project / Department</w:t>
            </w:r>
          </w:p>
        </w:tc>
        <w:tc>
          <w:tcPr>
            <w:tcW w:w="4680" w:type="dxa"/>
            <w:shd w:val="clear" w:color="auto" w:fill="FFFFFF"/>
          </w:tcPr>
          <w:p w14:paraId="0E996BB0">
            <w:r>
              <w:rPr>
                <w:sz w:val="20"/>
                <w:szCs w:val="20"/>
              </w:rPr>
              <w:t>Associated project or department</w:t>
            </w:r>
          </w:p>
        </w:tc>
      </w:tr>
      <w:tr w14:paraId="157115C5">
        <w:tc>
          <w:tcPr>
            <w:tcW w:w="4680" w:type="dxa"/>
            <w:shd w:val="clear" w:color="auto" w:fill="F2F2F2"/>
          </w:tcPr>
          <w:p w14:paraId="0F2B5913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4680" w:type="dxa"/>
            <w:shd w:val="clear" w:color="auto" w:fill="F2F2F2"/>
          </w:tcPr>
          <w:p w14:paraId="7014A769">
            <w:r>
              <w:rPr>
                <w:sz w:val="20"/>
                <w:szCs w:val="20"/>
              </w:rPr>
              <w:t>Active / Archived / Deprecated</w:t>
            </w:r>
          </w:p>
        </w:tc>
      </w:tr>
    </w:tbl>
    <w:p w14:paraId="299BE78E">
      <w:pPr>
        <w:spacing w:before="200"/>
      </w:pPr>
    </w:p>
    <w:p w14:paraId="1180E9FB">
      <w:pPr>
        <w:pStyle w:val="4"/>
        <w:spacing w:before="240" w:after="120"/>
        <w:rPr>
          <w:b/>
          <w:bCs/>
          <w:color w:val="404040"/>
          <w:sz w:val="22"/>
          <w:szCs w:val="22"/>
        </w:rPr>
      </w:pPr>
      <w:r>
        <w:t>4.6.3 Post-Departure Ownership Rule</w:t>
      </w:r>
    </w:p>
    <w:p w14:paraId="48925E70">
      <w:pPr>
        <w:spacing w:after="160"/>
        <w:jc w:val="both"/>
      </w:pPr>
      <w:r>
        <w:rPr>
          <w:color w:val="000000"/>
          <w:sz w:val="20"/>
          <w:szCs w:val="20"/>
        </w:rPr>
        <w:t>When an employee exits the organization:</w:t>
      </w:r>
    </w:p>
    <w:p w14:paraId="53FC98D2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Operational ownership of all their assets transfers to the organization.</w:t>
      </w:r>
    </w:p>
    <w:p w14:paraId="1E1BFDFF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Historical authorship records remain permanently attributed to the individual.</w:t>
      </w:r>
    </w:p>
    <w:p w14:paraId="0716E057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The system flags unhandled ownership transfers for HR review upon exit.</w:t>
      </w:r>
    </w:p>
    <w:p w14:paraId="72CC06F1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A handover checklist is generated to ensure all assets are documented and transferred.</w:t>
      </w:r>
    </w:p>
    <w:p w14:paraId="7D48869E">
      <w:r>
        <w:br w:type="page"/>
      </w:r>
    </w:p>
    <w:p w14:paraId="7A9FEA5A">
      <w:pPr>
        <w:pStyle w:val="3"/>
        <w:spacing w:before="320" w:after="160"/>
        <w:rPr>
          <w:b/>
          <w:bCs/>
          <w:color w:val="2E75B6"/>
          <w:sz w:val="24"/>
          <w:szCs w:val="24"/>
        </w:rPr>
      </w:pPr>
      <w:bookmarkStart w:id="14" w:name="_Toc95961232"/>
      <w:r>
        <w:t>4.7 Documentation Compliance Management</w:t>
      </w:r>
      <w:bookmarkEnd w:id="14"/>
    </w:p>
    <w:p w14:paraId="6D502F1F">
      <w:pPr>
        <w:spacing w:after="160"/>
        <w:jc w:val="both"/>
      </w:pPr>
      <w:r>
        <w:rPr>
          <w:color w:val="000000"/>
          <w:sz w:val="20"/>
          <w:szCs w:val="20"/>
        </w:rPr>
        <w:t>Every registered asset must have complete documentation before it is considered compliant. Incomplete documentation is flagged automatically.</w:t>
      </w:r>
    </w:p>
    <w:p w14:paraId="7F3696B9">
      <w:pPr>
        <w:pStyle w:val="4"/>
        <w:spacing w:before="240" w:after="120"/>
        <w:rPr>
          <w:b/>
          <w:bCs/>
          <w:color w:val="404040"/>
          <w:sz w:val="22"/>
          <w:szCs w:val="22"/>
        </w:rPr>
      </w:pPr>
      <w:r>
        <w:t>4.7.1 Required Documentation per Asset</w:t>
      </w:r>
    </w:p>
    <w:p w14:paraId="3DE7A133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Implementation guide — how the asset was built or configured</w:t>
      </w:r>
    </w:p>
    <w:p w14:paraId="2CA0DF22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User guide — how to use or operate the asset</w:t>
      </w:r>
    </w:p>
    <w:p w14:paraId="47C4E2C8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Maintenance instructions — how to maintain, update, or fix the asset</w:t>
      </w:r>
    </w:p>
    <w:p w14:paraId="4F16254D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Dependencies — list of tools, services, libraries the asset depends on</w:t>
      </w:r>
    </w:p>
    <w:p w14:paraId="4398EAB6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Version history — a log of all changes with dates and authors</w:t>
      </w:r>
    </w:p>
    <w:p w14:paraId="728D821B">
      <w:pPr>
        <w:spacing w:before="200"/>
      </w:pPr>
    </w:p>
    <w:p w14:paraId="5A7D5AAE">
      <w:pPr>
        <w:pStyle w:val="4"/>
        <w:spacing w:before="240" w:after="120"/>
        <w:rPr>
          <w:b/>
          <w:bCs/>
          <w:color w:val="404040"/>
          <w:sz w:val="22"/>
          <w:szCs w:val="22"/>
        </w:rPr>
      </w:pPr>
      <w:r>
        <w:t>4.7.2 Compliance Enforcement</w:t>
      </w:r>
    </w:p>
    <w:p w14:paraId="4A952434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The system calculates a Documentation Compliance Score (0–100%) per asset.</w:t>
      </w:r>
    </w:p>
    <w:p w14:paraId="4BDBDF2A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Assets with compliance below a configured threshold are flagged as non-compliant.</w:t>
      </w:r>
    </w:p>
    <w:p w14:paraId="72852B71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Non-compliant assets appear in the HR/Finance admin dashboard.</w:t>
      </w:r>
    </w:p>
    <w:p w14:paraId="3A65AF34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Employee's contribution score may be affected by documentation compliance of their owned assets.</w:t>
      </w:r>
    </w:p>
    <w:p w14:paraId="4D3235FF">
      <w:r>
        <w:br w:type="page"/>
      </w:r>
    </w:p>
    <w:p w14:paraId="18366934">
      <w:pPr>
        <w:pStyle w:val="3"/>
        <w:spacing w:before="320" w:after="160"/>
        <w:rPr>
          <w:b/>
          <w:bCs/>
          <w:color w:val="2E75B6"/>
          <w:sz w:val="24"/>
          <w:szCs w:val="24"/>
        </w:rPr>
      </w:pPr>
      <w:bookmarkStart w:id="15" w:name="_Toc60207327"/>
      <w:r>
        <w:t>4.8 Long-Term Reward and Royalty Management</w:t>
      </w:r>
      <w:bookmarkEnd w:id="15"/>
    </w:p>
    <w:p w14:paraId="6D1AD5CB">
      <w:pPr>
        <w:spacing w:after="160"/>
        <w:jc w:val="both"/>
      </w:pPr>
      <w:r>
        <w:rPr>
          <w:color w:val="000000"/>
          <w:sz w:val="20"/>
          <w:szCs w:val="20"/>
        </w:rPr>
        <w:t>The Reward Engine enables the organization to provide ongoing incentives to employees whose created assets continue to generate measurable business value.</w:t>
      </w:r>
    </w:p>
    <w:p w14:paraId="3E31FDB4">
      <w:pPr>
        <w:pStyle w:val="4"/>
        <w:spacing w:before="240" w:after="120"/>
        <w:rPr>
          <w:b/>
          <w:bCs/>
          <w:color w:val="404040"/>
          <w:sz w:val="22"/>
          <w:szCs w:val="22"/>
        </w:rPr>
      </w:pPr>
      <w:r>
        <w:t>4.8.1 Reward Basis Metrics</w:t>
      </w:r>
    </w:p>
    <w:p w14:paraId="794B2375">
      <w:pPr>
        <w:spacing w:after="160"/>
        <w:jc w:val="both"/>
      </w:pPr>
      <w:r>
        <w:rPr>
          <w:color w:val="000000"/>
          <w:sz w:val="20"/>
          <w:szCs w:val="20"/>
        </w:rPr>
        <w:t>Rewards are calculated based on the following value indicators (all configurable):</w:t>
      </w:r>
    </w:p>
    <w:p w14:paraId="1A2905CE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Revenue generated by or attributable to the asset</w:t>
      </w:r>
    </w:p>
    <w:p w14:paraId="47056546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Operational cost savings produced by the asset</w:t>
      </w:r>
    </w:p>
    <w:p w14:paraId="0DF94DD2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Productivity improvements measured from asset adoption</w:t>
      </w:r>
    </w:p>
    <w:p w14:paraId="1E7EDC17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Customer adoption or usage metrics</w:t>
      </w:r>
    </w:p>
    <w:p w14:paraId="58DE7FC8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Intellectual property value assigned to the asset</w:t>
      </w:r>
    </w:p>
    <w:p w14:paraId="7819F47A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Strategic business impact as assessed by management</w:t>
      </w:r>
    </w:p>
    <w:p w14:paraId="292128D2">
      <w:pPr>
        <w:spacing w:before="200"/>
      </w:pPr>
    </w:p>
    <w:p w14:paraId="3469B031">
      <w:pPr>
        <w:pStyle w:val="4"/>
        <w:spacing w:before="240" w:after="120"/>
        <w:rPr>
          <w:b/>
          <w:bCs/>
          <w:color w:val="404040"/>
          <w:sz w:val="22"/>
          <w:szCs w:val="22"/>
        </w:rPr>
      </w:pPr>
      <w:r>
        <w:t>4.8.2 Reward Types</w:t>
      </w:r>
    </w:p>
    <w:p w14:paraId="75E5DF5D">
      <w:pPr>
        <w:spacing w:before="1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49168176">
        <w:trPr>
          <w:tblHeader/>
        </w:trPr>
        <w:tc>
          <w:tcPr>
            <w:tcW w:w="4680" w:type="dxa"/>
            <w:shd w:val="clear" w:color="auto" w:fill="1F4E79"/>
          </w:tcPr>
          <w:p w14:paraId="7FF8F641">
            <w:r>
              <w:rPr>
                <w:b/>
                <w:bCs/>
                <w:color w:val="FFFFFF"/>
                <w:sz w:val="20"/>
                <w:szCs w:val="20"/>
              </w:rPr>
              <w:t>Reward Type</w:t>
            </w:r>
          </w:p>
        </w:tc>
        <w:tc>
          <w:tcPr>
            <w:tcW w:w="4680" w:type="dxa"/>
            <w:shd w:val="clear" w:color="auto" w:fill="1F4E79"/>
          </w:tcPr>
          <w:p w14:paraId="0B896845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50B2294C">
        <w:tc>
          <w:tcPr>
            <w:tcW w:w="4680" w:type="dxa"/>
            <w:shd w:val="clear" w:color="auto" w:fill="FFFFFF"/>
          </w:tcPr>
          <w:p w14:paraId="2855702B">
            <w:r>
              <w:rPr>
                <w:sz w:val="20"/>
                <w:szCs w:val="20"/>
              </w:rPr>
              <w:t>Annual Bonus</w:t>
            </w:r>
          </w:p>
        </w:tc>
        <w:tc>
          <w:tcPr>
            <w:tcW w:w="4680" w:type="dxa"/>
            <w:shd w:val="clear" w:color="auto" w:fill="FFFFFF"/>
          </w:tcPr>
          <w:p w14:paraId="1BCA51E0">
            <w:r>
              <w:rPr>
                <w:sz w:val="20"/>
                <w:szCs w:val="20"/>
              </w:rPr>
              <w:t>One-time yearly payment linked to asset performance</w:t>
            </w:r>
          </w:p>
        </w:tc>
      </w:tr>
      <w:tr w14:paraId="1D02531E">
        <w:tc>
          <w:tcPr>
            <w:tcW w:w="4680" w:type="dxa"/>
            <w:shd w:val="clear" w:color="auto" w:fill="F2F2F2"/>
          </w:tcPr>
          <w:p w14:paraId="69DF3196">
            <w:r>
              <w:rPr>
                <w:sz w:val="20"/>
                <w:szCs w:val="20"/>
              </w:rPr>
              <w:t>Innovation Incentive</w:t>
            </w:r>
          </w:p>
        </w:tc>
        <w:tc>
          <w:tcPr>
            <w:tcW w:w="4680" w:type="dxa"/>
            <w:shd w:val="clear" w:color="auto" w:fill="F2F2F2"/>
          </w:tcPr>
          <w:p w14:paraId="5D761AA4">
            <w:r>
              <w:rPr>
                <w:sz w:val="20"/>
                <w:szCs w:val="20"/>
              </w:rPr>
              <w:t>Award for assets with measurable innovation value</w:t>
            </w:r>
          </w:p>
        </w:tc>
      </w:tr>
      <w:tr w14:paraId="059B3D19">
        <w:tc>
          <w:tcPr>
            <w:tcW w:w="4680" w:type="dxa"/>
            <w:shd w:val="clear" w:color="auto" w:fill="FFFFFF"/>
          </w:tcPr>
          <w:p w14:paraId="4BB4969E">
            <w:r>
              <w:rPr>
                <w:sz w:val="20"/>
                <w:szCs w:val="20"/>
              </w:rPr>
              <w:t>Profit Sharing</w:t>
            </w:r>
          </w:p>
        </w:tc>
        <w:tc>
          <w:tcPr>
            <w:tcW w:w="4680" w:type="dxa"/>
            <w:shd w:val="clear" w:color="auto" w:fill="FFFFFF"/>
          </w:tcPr>
          <w:p w14:paraId="1A967440">
            <w:r>
              <w:rPr>
                <w:sz w:val="20"/>
                <w:szCs w:val="20"/>
              </w:rPr>
              <w:t>Percentage of profit attributable to the asset</w:t>
            </w:r>
          </w:p>
        </w:tc>
      </w:tr>
      <w:tr w14:paraId="29021DB8">
        <w:tc>
          <w:tcPr>
            <w:tcW w:w="4680" w:type="dxa"/>
            <w:shd w:val="clear" w:color="auto" w:fill="F2F2F2"/>
          </w:tcPr>
          <w:p w14:paraId="31076607">
            <w:r>
              <w:rPr>
                <w:sz w:val="20"/>
                <w:szCs w:val="20"/>
              </w:rPr>
              <w:t>Royalty-Based Reward</w:t>
            </w:r>
          </w:p>
        </w:tc>
        <w:tc>
          <w:tcPr>
            <w:tcW w:w="4680" w:type="dxa"/>
            <w:shd w:val="clear" w:color="auto" w:fill="F2F2F2"/>
          </w:tcPr>
          <w:p w14:paraId="373FDBBA">
            <w:r>
              <w:rPr>
                <w:sz w:val="20"/>
                <w:szCs w:val="20"/>
              </w:rPr>
              <w:t>Ongoing periodic payment tied to continued asset use or revenue</w:t>
            </w:r>
          </w:p>
        </w:tc>
      </w:tr>
      <w:tr w14:paraId="768247A2">
        <w:tc>
          <w:tcPr>
            <w:tcW w:w="4680" w:type="dxa"/>
            <w:shd w:val="clear" w:color="auto" w:fill="FFFFFF"/>
          </w:tcPr>
          <w:p w14:paraId="722C0F83">
            <w:r>
              <w:rPr>
                <w:sz w:val="20"/>
                <w:szCs w:val="20"/>
              </w:rPr>
              <w:t>Long-Term Recognition Award</w:t>
            </w:r>
          </w:p>
        </w:tc>
        <w:tc>
          <w:tcPr>
            <w:tcW w:w="4680" w:type="dxa"/>
            <w:shd w:val="clear" w:color="auto" w:fill="FFFFFF"/>
          </w:tcPr>
          <w:p w14:paraId="2BDC4D6F">
            <w:r>
              <w:rPr>
                <w:sz w:val="20"/>
                <w:szCs w:val="20"/>
              </w:rPr>
              <w:t>Non-monetary or hybrid recognition for multi-year value creation</w:t>
            </w:r>
          </w:p>
        </w:tc>
      </w:tr>
    </w:tbl>
    <w:p w14:paraId="5CF0C78B">
      <w:pPr>
        <w:spacing w:before="200"/>
      </w:pPr>
    </w:p>
    <w:p w14:paraId="504D93E1">
      <w:pPr>
        <w:pStyle w:val="4"/>
        <w:spacing w:before="240" w:after="120"/>
        <w:rPr>
          <w:b/>
          <w:bCs/>
          <w:color w:val="404040"/>
          <w:sz w:val="22"/>
          <w:szCs w:val="22"/>
        </w:rPr>
      </w:pPr>
      <w:r>
        <w:t>4.8.3 Reward Calculation</w:t>
      </w:r>
    </w:p>
    <w:p w14:paraId="3F780E91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The calculation method and formula are fully configurable by HR and Finance administrators.</w:t>
      </w:r>
    </w:p>
    <w:p w14:paraId="19141445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Multiple reward types can apply to a single asset simultaneously.</w:t>
      </w:r>
    </w:p>
    <w:p w14:paraId="5A28335A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All reward calculations are logged with version history and effective dates.</w:t>
      </w:r>
    </w:p>
    <w:p w14:paraId="5A0A7270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Rewards are linked to both the Creator and Contributors proportionally (configurable split).</w:t>
      </w:r>
    </w:p>
    <w:p w14:paraId="314EE518">
      <w:r>
        <w:br w:type="page"/>
      </w:r>
    </w:p>
    <w:p w14:paraId="066F6D66">
      <w:pPr>
        <w:pStyle w:val="3"/>
        <w:spacing w:before="320" w:after="160"/>
        <w:rPr>
          <w:b/>
          <w:bCs/>
          <w:color w:val="2E75B6"/>
          <w:sz w:val="24"/>
          <w:szCs w:val="24"/>
        </w:rPr>
      </w:pPr>
      <w:bookmarkStart w:id="16" w:name="_Toc439747152"/>
      <w:r>
        <w:t>4.9 Beneficiary Management</w:t>
      </w:r>
      <w:bookmarkEnd w:id="16"/>
    </w:p>
    <w:p w14:paraId="20FFC245">
      <w:pPr>
        <w:spacing w:after="160"/>
        <w:jc w:val="both"/>
      </w:pPr>
      <w:r>
        <w:rPr>
          <w:color w:val="000000"/>
          <w:sz w:val="20"/>
          <w:szCs w:val="20"/>
        </w:rPr>
        <w:t>Employees may nominate one or more beneficiaries to receive eligible long-term rewards in their place, subject to organizational policy and applicable legal requirements.</w:t>
      </w:r>
    </w:p>
    <w:p w14:paraId="3C287A67">
      <w:pPr>
        <w:pStyle w:val="4"/>
        <w:spacing w:before="240" w:after="120"/>
        <w:rPr>
          <w:b/>
          <w:bCs/>
          <w:color w:val="404040"/>
          <w:sz w:val="22"/>
          <w:szCs w:val="22"/>
        </w:rPr>
      </w:pPr>
      <w:r>
        <w:t>4.9.1 Eligible Beneficiary Types</w:t>
      </w:r>
    </w:p>
    <w:p w14:paraId="1A73AF8B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Spouse</w:t>
      </w:r>
    </w:p>
    <w:p w14:paraId="4891905D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Children</w:t>
      </w:r>
    </w:p>
    <w:p w14:paraId="71EC2AD7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Other family members or legal heirs</w:t>
      </w:r>
    </w:p>
    <w:p w14:paraId="2426CBEC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Charitable organizations</w:t>
      </w:r>
    </w:p>
    <w:p w14:paraId="57F41107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Non-governmental organizations (NGOs)</w:t>
      </w:r>
    </w:p>
    <w:p w14:paraId="7F9D038A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Educational institutions</w:t>
      </w:r>
    </w:p>
    <w:p w14:paraId="3408B295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Orphanages</w:t>
      </w:r>
    </w:p>
    <w:p w14:paraId="49E12B69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Registered trusts</w:t>
      </w:r>
    </w:p>
    <w:p w14:paraId="2F364438">
      <w:pPr>
        <w:spacing w:before="200"/>
      </w:pPr>
    </w:p>
    <w:p w14:paraId="3EC922E3">
      <w:pPr>
        <w:pStyle w:val="4"/>
        <w:spacing w:before="240" w:after="120"/>
        <w:rPr>
          <w:b/>
          <w:bCs/>
          <w:color w:val="404040"/>
          <w:sz w:val="22"/>
          <w:szCs w:val="22"/>
        </w:rPr>
      </w:pPr>
      <w:r>
        <w:t>4.9.2 Beneficiary Record Fields</w:t>
      </w:r>
    </w:p>
    <w:p w14:paraId="7A68191A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Beneficiary name and relationship to employee</w:t>
      </w:r>
    </w:p>
    <w:p w14:paraId="1993021F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Contact details</w:t>
      </w:r>
    </w:p>
    <w:p w14:paraId="3D29B361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Allocation percentage (if multiple beneficiaries)</w:t>
      </w:r>
    </w:p>
    <w:p w14:paraId="74BF4C0B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Supporting documentation (legal or identity verification as required)</w:t>
      </w:r>
    </w:p>
    <w:p w14:paraId="0085C3E3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Designation date and effective date</w:t>
      </w:r>
    </w:p>
    <w:p w14:paraId="45B3A590">
      <w:pPr>
        <w:spacing w:before="200"/>
      </w:pPr>
    </w:p>
    <w:p w14:paraId="6902C154">
      <w:pPr>
        <w:pStyle w:val="4"/>
        <w:spacing w:before="240" w:after="120"/>
        <w:rPr>
          <w:b/>
          <w:bCs/>
          <w:color w:val="404040"/>
          <w:sz w:val="22"/>
          <w:szCs w:val="22"/>
        </w:rPr>
      </w:pPr>
      <w:r>
        <w:t>4.9.3 Default Rule</w:t>
      </w:r>
    </w:p>
    <w:p w14:paraId="3577A8BE">
      <w:pPr>
        <w:spacing w:after="160"/>
        <w:jc w:val="both"/>
      </w:pPr>
      <w:r>
        <w:rPr>
          <w:color w:val="000000"/>
          <w:sz w:val="20"/>
          <w:szCs w:val="20"/>
        </w:rPr>
        <w:t>If no beneficiary is designated at the time a reward becomes payable, the system routes the reward handling to HR for resolution per organizational policy and applicable legal requirements.</w:t>
      </w:r>
    </w:p>
    <w:p w14:paraId="3F58F06E">
      <w:r>
        <w:br w:type="page"/>
      </w:r>
    </w:p>
    <w:p w14:paraId="639D743E">
      <w:pPr>
        <w:pStyle w:val="2"/>
        <w:pBdr>
          <w:bottom w:val="single" w:color="2E75B6" w:sz="8" w:space="0"/>
        </w:pBdr>
        <w:spacing w:before="400" w:after="200"/>
        <w:rPr>
          <w:b/>
          <w:bCs/>
          <w:color w:val="1F4E79"/>
          <w:sz w:val="28"/>
          <w:szCs w:val="28"/>
        </w:rPr>
      </w:pPr>
      <w:bookmarkStart w:id="17" w:name="_Toc1339154337"/>
      <w:r>
        <w:t>5. Non-Functional Requirements</w:t>
      </w:r>
      <w:bookmarkEnd w:id="17"/>
    </w:p>
    <w:p w14:paraId="7384EFDC">
      <w:pPr>
        <w:pStyle w:val="3"/>
        <w:spacing w:before="320" w:after="160"/>
        <w:rPr>
          <w:b/>
          <w:bCs/>
          <w:color w:val="2E75B6"/>
          <w:sz w:val="24"/>
          <w:szCs w:val="24"/>
        </w:rPr>
      </w:pPr>
      <w:bookmarkStart w:id="18" w:name="_Toc1538321399"/>
      <w:r>
        <w:t>5.1 Security</w:t>
      </w:r>
      <w:bookmarkEnd w:id="18"/>
    </w:p>
    <w:p w14:paraId="0B7CBFC4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Role-Based Access Control (RBAC) — distinct roles for Employee, Manager, HR Admin, Finance Admin, System Admin.</w:t>
      </w:r>
    </w:p>
    <w:p w14:paraId="43F55CB4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All sensitive data (salary, BPV scores, asset ownership) is accessible only to authorized roles.</w:t>
      </w:r>
    </w:p>
    <w:p w14:paraId="00C0AF4F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Audit trail for all data changes — who changed what and when.</w:t>
      </w:r>
    </w:p>
    <w:p w14:paraId="19781A29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SSO support for enterprise authentication.</w:t>
      </w:r>
    </w:p>
    <w:p w14:paraId="0095654A">
      <w:pPr>
        <w:spacing w:before="200"/>
      </w:pPr>
    </w:p>
    <w:p w14:paraId="7EFB59A2">
      <w:pPr>
        <w:pStyle w:val="3"/>
        <w:spacing w:before="320" w:after="160"/>
        <w:rPr>
          <w:b/>
          <w:bCs/>
          <w:color w:val="2E75B6"/>
          <w:sz w:val="24"/>
          <w:szCs w:val="24"/>
        </w:rPr>
      </w:pPr>
      <w:bookmarkStart w:id="19" w:name="_Toc1012126760"/>
      <w:r>
        <w:t>5.2 Performance</w:t>
      </w:r>
      <w:bookmarkEnd w:id="19"/>
    </w:p>
    <w:p w14:paraId="1D482333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BPV score recalculation must complete within 5 seconds for a single employee profile update.</w:t>
      </w:r>
    </w:p>
    <w:p w14:paraId="0B76C875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Dashboard and analytics pages must load within 3 seconds under normal load.</w:t>
      </w:r>
    </w:p>
    <w:p w14:paraId="08771978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System must support concurrent use by up to 500 users without degradation.</w:t>
      </w:r>
    </w:p>
    <w:p w14:paraId="01E08AB8">
      <w:pPr>
        <w:spacing w:before="200"/>
      </w:pPr>
    </w:p>
    <w:p w14:paraId="3F13011A">
      <w:pPr>
        <w:pStyle w:val="3"/>
        <w:spacing w:before="320" w:after="160"/>
        <w:rPr>
          <w:b/>
          <w:bCs/>
          <w:color w:val="2E75B6"/>
          <w:sz w:val="24"/>
          <w:szCs w:val="24"/>
        </w:rPr>
      </w:pPr>
      <w:bookmarkStart w:id="20" w:name="_Toc596487433"/>
      <w:r>
        <w:t>5.3 Scalability</w:t>
      </w:r>
      <w:bookmarkEnd w:id="20"/>
    </w:p>
    <w:p w14:paraId="234C7356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Architecture must support horizontal scaling as the organization grows.</w:t>
      </w:r>
    </w:p>
    <w:p w14:paraId="55856D63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Asset Ownership Registry must support up to 1 million asset records without query degradation.</w:t>
      </w:r>
    </w:p>
    <w:p w14:paraId="3C63D8D9">
      <w:pPr>
        <w:spacing w:before="200"/>
      </w:pPr>
    </w:p>
    <w:p w14:paraId="66BC6AC7">
      <w:pPr>
        <w:pStyle w:val="3"/>
        <w:spacing w:before="320" w:after="160"/>
        <w:rPr>
          <w:b/>
          <w:bCs/>
          <w:color w:val="2E75B6"/>
          <w:sz w:val="24"/>
          <w:szCs w:val="24"/>
        </w:rPr>
      </w:pPr>
      <w:bookmarkStart w:id="21" w:name="_Toc710622235"/>
      <w:r>
        <w:t>5.4 Configurability</w:t>
      </w:r>
      <w:bookmarkEnd w:id="21"/>
    </w:p>
    <w:p w14:paraId="2AEAB834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All scoring weights, salary split ratios, reward formulas, and compliance thresholds must be admin-configurable without code deployment.</w:t>
      </w:r>
    </w:p>
    <w:p w14:paraId="45D023A6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Configuration changes must be versioned with effective dates and rollback capability.</w:t>
      </w:r>
    </w:p>
    <w:p w14:paraId="572A3F45">
      <w:pPr>
        <w:spacing w:before="200"/>
      </w:pPr>
    </w:p>
    <w:p w14:paraId="4EAB47FE">
      <w:pPr>
        <w:pStyle w:val="3"/>
        <w:spacing w:before="320" w:after="160"/>
        <w:rPr>
          <w:b/>
          <w:bCs/>
          <w:color w:val="2E75B6"/>
          <w:sz w:val="24"/>
          <w:szCs w:val="24"/>
        </w:rPr>
      </w:pPr>
      <w:bookmarkStart w:id="22" w:name="_Toc1271342678"/>
      <w:r>
        <w:t>5.5 Data Integrity</w:t>
      </w:r>
      <w:bookmarkEnd w:id="22"/>
    </w:p>
    <w:p w14:paraId="3DDF440A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All ownership records, BPV histories, and reward calculations must be immutable — append-only logs.</w:t>
      </w:r>
    </w:p>
    <w:p w14:paraId="79AB9A3B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No permanent deletion of ownership or reward records — only archival.</w:t>
      </w:r>
    </w:p>
    <w:p w14:paraId="09E6966D">
      <w:r>
        <w:br w:type="page"/>
      </w:r>
    </w:p>
    <w:p w14:paraId="75D9AC7D">
      <w:pPr>
        <w:pStyle w:val="2"/>
        <w:pBdr>
          <w:bottom w:val="single" w:color="2E75B6" w:sz="8" w:space="0"/>
        </w:pBdr>
        <w:spacing w:before="400" w:after="200"/>
        <w:rPr>
          <w:b/>
          <w:bCs/>
          <w:color w:val="1F4E79"/>
          <w:sz w:val="28"/>
          <w:szCs w:val="28"/>
        </w:rPr>
      </w:pPr>
      <w:bookmarkStart w:id="23" w:name="_Toc2141585143"/>
      <w:r>
        <w:t>6. User Roles and Access</w:t>
      </w:r>
      <w:bookmarkEnd w:id="23"/>
    </w:p>
    <w:p w14:paraId="4C2EC4D0">
      <w:pPr>
        <w:spacing w:before="1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45CAD29E">
        <w:trPr>
          <w:tblHeader/>
        </w:trPr>
        <w:tc>
          <w:tcPr>
            <w:tcW w:w="4680" w:type="dxa"/>
            <w:shd w:val="clear" w:color="auto" w:fill="1F4E79"/>
          </w:tcPr>
          <w:p w14:paraId="7A59FB56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4680" w:type="dxa"/>
            <w:shd w:val="clear" w:color="auto" w:fill="1F4E79"/>
          </w:tcPr>
          <w:p w14:paraId="44703A3C">
            <w:r>
              <w:rPr>
                <w:b/>
                <w:bCs/>
                <w:color w:val="FFFFFF"/>
                <w:sz w:val="20"/>
                <w:szCs w:val="20"/>
              </w:rPr>
              <w:t>Key Permissions</w:t>
            </w:r>
          </w:p>
        </w:tc>
      </w:tr>
      <w:tr w14:paraId="527B5E62">
        <w:tc>
          <w:tcPr>
            <w:tcW w:w="4680" w:type="dxa"/>
            <w:shd w:val="clear" w:color="auto" w:fill="FFFFFF"/>
          </w:tcPr>
          <w:p w14:paraId="2917D785">
            <w:r>
              <w:rPr>
                <w:sz w:val="20"/>
                <w:szCs w:val="20"/>
              </w:rPr>
              <w:t>Employee</w:t>
            </w:r>
          </w:p>
        </w:tc>
        <w:tc>
          <w:tcPr>
            <w:tcW w:w="4680" w:type="dxa"/>
            <w:shd w:val="clear" w:color="auto" w:fill="FFFFFF"/>
          </w:tcPr>
          <w:p w14:paraId="2A1C5BD0">
            <w:r>
              <w:rPr>
                <w:sz w:val="20"/>
                <w:szCs w:val="20"/>
              </w:rPr>
              <w:t>View own profile, submit task reports, log time, register assets, nominate beneficiaries</w:t>
            </w:r>
          </w:p>
        </w:tc>
      </w:tr>
      <w:tr w14:paraId="00BC704C">
        <w:tc>
          <w:tcPr>
            <w:tcW w:w="4680" w:type="dxa"/>
            <w:shd w:val="clear" w:color="auto" w:fill="F2F2F2"/>
          </w:tcPr>
          <w:p w14:paraId="44541675">
            <w:r>
              <w:rPr>
                <w:sz w:val="20"/>
                <w:szCs w:val="20"/>
              </w:rPr>
              <w:t>Manager</w:t>
            </w:r>
          </w:p>
        </w:tc>
        <w:tc>
          <w:tcPr>
            <w:tcW w:w="4680" w:type="dxa"/>
            <w:shd w:val="clear" w:color="auto" w:fill="F2F2F2"/>
          </w:tcPr>
          <w:p w14:paraId="4ACDD741">
            <w:r>
              <w:rPr>
                <w:sz w:val="20"/>
                <w:szCs w:val="20"/>
              </w:rPr>
              <w:t>Assign tasks, review and accept deliveries, rate quality, view team efficiency scores</w:t>
            </w:r>
          </w:p>
        </w:tc>
      </w:tr>
      <w:tr w14:paraId="48D6A61B">
        <w:tc>
          <w:tcPr>
            <w:tcW w:w="4680" w:type="dxa"/>
            <w:shd w:val="clear" w:color="auto" w:fill="FFFFFF"/>
          </w:tcPr>
          <w:p w14:paraId="0E91C78D">
            <w:r>
              <w:rPr>
                <w:sz w:val="20"/>
                <w:szCs w:val="20"/>
              </w:rPr>
              <w:t>HR Admin</w:t>
            </w:r>
          </w:p>
        </w:tc>
        <w:tc>
          <w:tcPr>
            <w:tcW w:w="4680" w:type="dxa"/>
            <w:shd w:val="clear" w:color="auto" w:fill="FFFFFF"/>
          </w:tcPr>
          <w:p w14:paraId="1EF3CD42">
            <w:r>
              <w:rPr>
                <w:sz w:val="20"/>
                <w:szCs w:val="20"/>
              </w:rPr>
              <w:t>Configure BPV weights, manage salary structure, manage reward rules, view all employee profiles</w:t>
            </w:r>
          </w:p>
        </w:tc>
      </w:tr>
      <w:tr w14:paraId="38D2068A">
        <w:tc>
          <w:tcPr>
            <w:tcW w:w="4680" w:type="dxa"/>
            <w:shd w:val="clear" w:color="auto" w:fill="F2F2F2"/>
          </w:tcPr>
          <w:p w14:paraId="25660D73">
            <w:r>
              <w:rPr>
                <w:sz w:val="20"/>
                <w:szCs w:val="20"/>
              </w:rPr>
              <w:t>Finance Admin</w:t>
            </w:r>
          </w:p>
        </w:tc>
        <w:tc>
          <w:tcPr>
            <w:tcW w:w="4680" w:type="dxa"/>
            <w:shd w:val="clear" w:color="auto" w:fill="F2F2F2"/>
          </w:tcPr>
          <w:p w14:paraId="5D63C06A">
            <w:r>
              <w:rPr>
                <w:sz w:val="20"/>
                <w:szCs w:val="20"/>
              </w:rPr>
              <w:t>Configure salary components, review reward calculations, manage beneficiary payouts</w:t>
            </w:r>
          </w:p>
        </w:tc>
      </w:tr>
      <w:tr w14:paraId="679A1892">
        <w:tc>
          <w:tcPr>
            <w:tcW w:w="4680" w:type="dxa"/>
            <w:shd w:val="clear" w:color="auto" w:fill="FFFFFF"/>
          </w:tcPr>
          <w:p w14:paraId="4408957C">
            <w:r>
              <w:rPr>
                <w:sz w:val="20"/>
                <w:szCs w:val="20"/>
              </w:rPr>
              <w:t>System Admin</w:t>
            </w:r>
          </w:p>
        </w:tc>
        <w:tc>
          <w:tcPr>
            <w:tcW w:w="4680" w:type="dxa"/>
            <w:shd w:val="clear" w:color="auto" w:fill="FFFFFF"/>
          </w:tcPr>
          <w:p w14:paraId="597C39B4">
            <w:r>
              <w:rPr>
                <w:sz w:val="20"/>
                <w:szCs w:val="20"/>
              </w:rPr>
              <w:t>Full system configuration, user management, audit log access</w:t>
            </w:r>
          </w:p>
        </w:tc>
      </w:tr>
    </w:tbl>
    <w:p w14:paraId="4533B494">
      <w:r>
        <w:br w:type="page"/>
      </w:r>
    </w:p>
    <w:p w14:paraId="0A347F20">
      <w:pPr>
        <w:pStyle w:val="2"/>
        <w:pBdr>
          <w:bottom w:val="single" w:color="2E75B6" w:sz="8" w:space="0"/>
        </w:pBdr>
        <w:spacing w:before="400" w:after="200"/>
        <w:rPr>
          <w:b/>
          <w:bCs/>
          <w:color w:val="1F4E79"/>
          <w:sz w:val="28"/>
          <w:szCs w:val="28"/>
        </w:rPr>
      </w:pPr>
      <w:bookmarkStart w:id="24" w:name="_Toc1795574681"/>
      <w:r>
        <w:t>7. Expected Business Benefits</w:t>
      </w:r>
      <w:bookmarkEnd w:id="24"/>
    </w:p>
    <w:p w14:paraId="1721126D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Rewards professional expertise and knowledge rather than time spent.</w:t>
      </w:r>
    </w:p>
    <w:p w14:paraId="7DFC6D71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Encourages faster, high-quality task completion through Efficiency Scoring.</w:t>
      </w:r>
    </w:p>
    <w:p w14:paraId="7B019020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Aligns compensation with real professional value and market worth via BPV.</w:t>
      </w:r>
    </w:p>
    <w:p w14:paraId="0C016CA8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Improves accountability for all organizational digital assets through the Ownership Registry.</w:t>
      </w:r>
    </w:p>
    <w:p w14:paraId="35A37438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Ensures knowledge and authorship are never lost — even after an employee exits.</w:t>
      </w:r>
    </w:p>
    <w:p w14:paraId="607AFB35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Enforces documentation discipline, reducing knowledge debt and maintenance risk.</w:t>
      </w:r>
    </w:p>
    <w:p w14:paraId="44F10747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Strengthens long-term employee engagement through configurable, asset-linked rewards.</w:t>
      </w:r>
    </w:p>
    <w:p w14:paraId="16A5D57B">
      <w:pPr>
        <w:pStyle w:val="16"/>
        <w:numPr>
          <w:ilvl w:val="0"/>
          <w:numId w:val="1"/>
        </w:numPr>
        <w:spacing w:after="80"/>
      </w:pPr>
      <w:r>
        <w:rPr>
          <w:color w:val="000000"/>
          <w:sz w:val="20"/>
          <w:szCs w:val="20"/>
        </w:rPr>
        <w:t>Aligns employee rewards directly with the business value they create.</w:t>
      </w:r>
    </w:p>
    <w:p w14:paraId="69D233EC">
      <w:r>
        <w:br w:type="page"/>
      </w:r>
    </w:p>
    <w:p w14:paraId="71F9681E">
      <w:pPr>
        <w:pStyle w:val="2"/>
        <w:pBdr>
          <w:bottom w:val="single" w:color="2E75B6" w:sz="8" w:space="0"/>
        </w:pBdr>
        <w:spacing w:before="400" w:after="200"/>
        <w:rPr>
          <w:b/>
          <w:bCs/>
          <w:color w:val="1F4E79"/>
          <w:sz w:val="28"/>
          <w:szCs w:val="28"/>
        </w:rPr>
      </w:pPr>
      <w:bookmarkStart w:id="25" w:name="_Toc1783455923"/>
      <w:r>
        <w:t>8. Document Control</w:t>
      </w:r>
      <w:bookmarkEnd w:id="25"/>
    </w:p>
    <w:p w14:paraId="6EA146BA">
      <w:pPr>
        <w:spacing w:before="1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58"/>
        <w:gridCol w:w="6502"/>
      </w:tblGrid>
      <w:tr w14:paraId="0AEB2C5E">
        <w:tc>
          <w:tcPr>
            <w:tcW w:w="3000" w:type="dxa"/>
            <w:shd w:val="clear" w:color="auto" w:fill="D6E4F0"/>
          </w:tcPr>
          <w:p w14:paraId="1C054799">
            <w:r>
              <w:rPr>
                <w:b/>
                <w:bCs/>
                <w:color w:val="1F4E79"/>
                <w:sz w:val="20"/>
                <w:szCs w:val="20"/>
              </w:rPr>
              <w:t>Document Title</w:t>
            </w:r>
          </w:p>
        </w:tc>
        <w:tc>
          <w:tcPr>
            <w:tcW w:w="7000" w:type="dxa"/>
          </w:tcPr>
          <w:p w14:paraId="3C2A4A1F">
            <w:r>
              <w:rPr>
                <w:sz w:val="20"/>
                <w:szCs w:val="20"/>
              </w:rPr>
              <w:t>HRMS — Solution Design Document</w:t>
            </w:r>
          </w:p>
        </w:tc>
      </w:tr>
      <w:tr w14:paraId="38176EF1">
        <w:tc>
          <w:tcPr>
            <w:tcW w:w="3000" w:type="dxa"/>
            <w:shd w:val="clear" w:color="auto" w:fill="D6E4F0"/>
          </w:tcPr>
          <w:p w14:paraId="3099676B">
            <w:r>
              <w:rPr>
                <w:b/>
                <w:bCs/>
                <w:color w:val="1F4E79"/>
                <w:sz w:val="20"/>
                <w:szCs w:val="20"/>
              </w:rPr>
              <w:t>Version</w:t>
            </w:r>
          </w:p>
        </w:tc>
        <w:tc>
          <w:tcPr>
            <w:tcW w:w="7000" w:type="dxa"/>
          </w:tcPr>
          <w:p w14:paraId="6F1BD230">
            <w:r>
              <w:rPr>
                <w:sz w:val="20"/>
                <w:szCs w:val="20"/>
              </w:rPr>
              <w:t>v1.0</w:t>
            </w:r>
          </w:p>
        </w:tc>
      </w:tr>
      <w:tr w14:paraId="78BADEAC">
        <w:tc>
          <w:tcPr>
            <w:tcW w:w="3000" w:type="dxa"/>
            <w:shd w:val="clear" w:color="auto" w:fill="D6E4F0"/>
          </w:tcPr>
          <w:p w14:paraId="66817623">
            <w:r>
              <w:rPr>
                <w:b/>
                <w:bCs/>
                <w:color w:val="1F4E79"/>
                <w:sz w:val="20"/>
                <w:szCs w:val="20"/>
              </w:rPr>
              <w:t>Status</w:t>
            </w:r>
          </w:p>
        </w:tc>
        <w:tc>
          <w:tcPr>
            <w:tcW w:w="7000" w:type="dxa"/>
          </w:tcPr>
          <w:p w14:paraId="6C77605B">
            <w:r>
              <w:rPr>
                <w:sz w:val="20"/>
                <w:szCs w:val="20"/>
              </w:rPr>
              <w:t>Draft — For Review</w:t>
            </w:r>
          </w:p>
        </w:tc>
      </w:tr>
      <w:tr w14:paraId="41396229">
        <w:tc>
          <w:tcPr>
            <w:tcW w:w="3000" w:type="dxa"/>
            <w:shd w:val="clear" w:color="auto" w:fill="D6E4F0"/>
          </w:tcPr>
          <w:p w14:paraId="46797F7C">
            <w:r>
              <w:rPr>
                <w:b/>
                <w:bCs/>
                <w:color w:val="1F4E79"/>
                <w:sz w:val="20"/>
                <w:szCs w:val="20"/>
              </w:rPr>
              <w:t>Prepared Date</w:t>
            </w:r>
          </w:p>
        </w:tc>
        <w:tc>
          <w:tcPr>
            <w:tcW w:w="7000" w:type="dxa"/>
          </w:tcPr>
          <w:p w14:paraId="6610CF26">
            <w:r>
              <w:rPr>
                <w:sz w:val="20"/>
                <w:szCs w:val="20"/>
              </w:rPr>
              <w:t>July 2026</w:t>
            </w:r>
          </w:p>
        </w:tc>
      </w:tr>
      <w:tr w14:paraId="12763A03">
        <w:tc>
          <w:tcPr>
            <w:tcW w:w="3000" w:type="dxa"/>
            <w:shd w:val="clear" w:color="auto" w:fill="D6E4F0"/>
          </w:tcPr>
          <w:p w14:paraId="4FF36773">
            <w:r>
              <w:rPr>
                <w:b/>
                <w:bCs/>
                <w:color w:val="1F4E79"/>
                <w:sz w:val="20"/>
                <w:szCs w:val="20"/>
              </w:rPr>
              <w:t>Classification</w:t>
            </w:r>
          </w:p>
        </w:tc>
        <w:tc>
          <w:tcPr>
            <w:tcW w:w="7000" w:type="dxa"/>
          </w:tcPr>
          <w:p w14:paraId="706A21FA">
            <w:r>
              <w:rPr>
                <w:sz w:val="20"/>
                <w:szCs w:val="20"/>
              </w:rPr>
              <w:t>Confidential</w:t>
            </w:r>
          </w:p>
        </w:tc>
      </w:tr>
      <w:tr w14:paraId="5105AE31">
        <w:tc>
          <w:tcPr>
            <w:tcW w:w="3000" w:type="dxa"/>
            <w:shd w:val="clear" w:color="auto" w:fill="D6E4F0"/>
          </w:tcPr>
          <w:p w14:paraId="5B0714FB">
            <w:r>
              <w:rPr>
                <w:b/>
                <w:bCs/>
                <w:color w:val="1F4E79"/>
                <w:sz w:val="20"/>
                <w:szCs w:val="20"/>
              </w:rPr>
              <w:t>Project</w:t>
            </w:r>
          </w:p>
        </w:tc>
        <w:tc>
          <w:tcPr>
            <w:tcW w:w="7000" w:type="dxa"/>
          </w:tcPr>
          <w:p w14:paraId="175D30EC">
            <w:r>
              <w:rPr>
                <w:sz w:val="20"/>
                <w:szCs w:val="20"/>
              </w:rPr>
              <w:t>Custom ERP HRMS — Built from Scratch</w:t>
            </w:r>
          </w:p>
        </w:tc>
      </w:tr>
      <w:tr w14:paraId="50B48FA0">
        <w:tc>
          <w:tcPr>
            <w:tcW w:w="3000" w:type="dxa"/>
            <w:shd w:val="clear" w:color="auto" w:fill="D6E4F0"/>
          </w:tcPr>
          <w:p w14:paraId="6505363E">
            <w:r>
              <w:rPr>
                <w:b/>
                <w:bCs/>
                <w:color w:val="1F4E79"/>
                <w:sz w:val="20"/>
                <w:szCs w:val="20"/>
              </w:rPr>
              <w:t>Next Review</w:t>
            </w:r>
          </w:p>
        </w:tc>
        <w:tc>
          <w:tcPr>
            <w:tcW w:w="7000" w:type="dxa"/>
          </w:tcPr>
          <w:p w14:paraId="63714FF8">
            <w:r>
              <w:rPr>
                <w:sz w:val="20"/>
                <w:szCs w:val="20"/>
              </w:rPr>
              <w:t>To be scheduled post stakeholder review</w:t>
            </w:r>
          </w:p>
        </w:tc>
      </w:tr>
    </w:tbl>
    <w:p w14:paraId="7EADFC62">
      <w:pPr>
        <w:spacing w:before="400"/>
      </w:pPr>
    </w:p>
    <w:p w14:paraId="5852FCB8">
      <w:pPr>
        <w:spacing w:after="160"/>
        <w:jc w:val="both"/>
      </w:pPr>
      <w:r>
        <w:rPr>
          <w:i/>
          <w:iCs/>
          <w:color w:val="404040"/>
          <w:sz w:val="20"/>
          <w:szCs w:val="20"/>
        </w:rPr>
        <w:t>This document is subject to change as requirements are refined and stakeholder feedback is incorporated. All changes will be versioned and tracked in the document version history.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1F5D40">
    <w:pPr>
      <w:pBdr>
        <w:top w:val="single" w:color="2E75B6" w:sz="6" w:space="0"/>
      </w:pBdr>
      <w:jc w:val="center"/>
    </w:pPr>
    <w:r>
      <w:rPr>
        <w:color w:val="404040"/>
        <w:sz w:val="18"/>
        <w:szCs w:val="18"/>
      </w:rPr>
      <w:t xml:space="preserve">Page </w:t>
    </w:r>
    <w:r>
      <w:rPr>
        <w:color w:val="404040"/>
        <w:sz w:val="18"/>
        <w:szCs w:val="18"/>
      </w:rPr>
      <w:fldChar w:fldCharType="begin"/>
    </w:r>
    <w:r>
      <w:rPr>
        <w:color w:val="404040"/>
        <w:sz w:val="18"/>
        <w:szCs w:val="18"/>
      </w:rPr>
      <w:instrText xml:space="preserve">PAGE</w:instrText>
    </w:r>
    <w:r>
      <w:rPr>
        <w:color w:val="404040"/>
        <w:sz w:val="18"/>
        <w:szCs w:val="18"/>
      </w:rPr>
      <w:fldChar w:fldCharType="separate"/>
    </w:r>
    <w:r>
      <w:rPr>
        <w:color w:val="404040"/>
        <w:sz w:val="18"/>
        <w:szCs w:val="18"/>
      </w:rPr>
      <w:fldChar w:fldCharType="end"/>
    </w:r>
    <w:r>
      <w:rPr>
        <w:color w:val="404040"/>
        <w:sz w:val="18"/>
        <w:szCs w:val="18"/>
      </w:rPr>
      <w:t xml:space="preserve"> of </w:t>
    </w:r>
    <w:r>
      <w:rPr>
        <w:color w:val="404040"/>
        <w:sz w:val="18"/>
        <w:szCs w:val="18"/>
      </w:rPr>
      <w:fldChar w:fldCharType="begin"/>
    </w:r>
    <w:r>
      <w:rPr>
        <w:color w:val="404040"/>
        <w:sz w:val="18"/>
        <w:szCs w:val="18"/>
      </w:rPr>
      <w:instrText xml:space="preserve">NUMPAGES</w:instrText>
    </w:r>
    <w:r>
      <w:rPr>
        <w:color w:val="404040"/>
        <w:sz w:val="18"/>
        <w:szCs w:val="18"/>
      </w:rPr>
      <w:fldChar w:fldCharType="separate"/>
    </w:r>
    <w:r>
      <w:rPr>
        <w:color w:val="404040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1BAD19">
    <w:pPr>
      <w:pBdr>
        <w:bottom w:val="single" w:color="2E75B6" w:sz="6" w:space="0"/>
      </w:pBdr>
    </w:pPr>
    <w:r>
      <w:rPr>
        <w:color w:val="2E75B6"/>
        <w:sz w:val="18"/>
        <w:szCs w:val="18"/>
      </w:rPr>
      <w:t>HRMS — Solution Design Document</w:t>
    </w:r>
    <w:r>
      <w:rPr>
        <w:color w:val="404040"/>
        <w:sz w:val="18"/>
        <w:szCs w:val="18"/>
      </w:rPr>
      <w:t xml:space="preserve">    |    Confidential    |    v1.0    |  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16392B"/>
    <w:multiLevelType w:val="multilevel"/>
    <w:tmpl w:val="F216392B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BFBAEAB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color w:val="000000"/>
      <w:sz w:val="20"/>
      <w:szCs w:val="20"/>
    </w:rPr>
  </w:style>
  <w:style w:type="paragraph" w:styleId="2">
    <w:name w:val="heading 1"/>
    <w:next w:val="1"/>
    <w:qFormat/>
    <w:uiPriority w:val="0"/>
    <w:pPr>
      <w:spacing w:before="400" w:after="200"/>
      <w:outlineLvl w:val="0"/>
    </w:pPr>
    <w:rPr>
      <w:rFonts w:ascii="Calibri" w:hAnsi="Calibri" w:eastAsia="Calibri" w:cs="Calibri"/>
      <w:b/>
      <w:bCs/>
      <w:color w:val="1F4E79"/>
      <w:sz w:val="28"/>
      <w:szCs w:val="28"/>
    </w:rPr>
  </w:style>
  <w:style w:type="paragraph" w:styleId="3">
    <w:name w:val="heading 2"/>
    <w:next w:val="1"/>
    <w:qFormat/>
    <w:uiPriority w:val="0"/>
    <w:pPr>
      <w:spacing w:before="320" w:after="160"/>
      <w:outlineLvl w:val="1"/>
    </w:pPr>
    <w:rPr>
      <w:rFonts w:ascii="Calibri" w:hAnsi="Calibri" w:eastAsia="Calibri" w:cs="Calibri"/>
      <w:b/>
      <w:bCs/>
      <w:color w:val="2E75B6"/>
      <w:sz w:val="24"/>
      <w:szCs w:val="24"/>
    </w:rPr>
  </w:style>
  <w:style w:type="paragraph" w:styleId="4">
    <w:name w:val="heading 3"/>
    <w:next w:val="1"/>
    <w:qFormat/>
    <w:uiPriority w:val="0"/>
    <w:pPr>
      <w:spacing w:before="240" w:after="120"/>
      <w:outlineLvl w:val="2"/>
    </w:pPr>
    <w:rPr>
      <w:rFonts w:ascii="Calibri" w:hAnsi="Calibri" w:eastAsia="Calibri" w:cs="Calibri"/>
      <w:b/>
      <w:bCs/>
      <w:color w:val="404040"/>
      <w:sz w:val="22"/>
      <w:szCs w:val="22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Calibri" w:hAnsi="Calibri" w:eastAsia="Calibri" w:cs="Calibri"/>
      <w:color w:val="000000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Calibri" w:hAnsi="Calibri" w:eastAsia="Calibri" w:cs="Calibri"/>
      <w:color w:val="000000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color w:val="000000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color w:val="000000"/>
      <w:sz w:val="20"/>
      <w:szCs w:val="20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  <w:style w:type="paragraph" w:customStyle="1" w:styleId="19">
    <w:name w:val="WPSOffice手动目录 1"/>
    <w:uiPriority w:val="0"/>
    <w:pPr>
      <w:ind w:leftChars="0"/>
    </w:pPr>
    <w:rPr>
      <w:sz w:val="20"/>
      <w:szCs w:val="20"/>
    </w:rPr>
  </w:style>
  <w:style w:type="paragraph" w:customStyle="1" w:styleId="20">
    <w:name w:val="WPSOffice手动目录 2"/>
    <w:uiPriority w:val="0"/>
    <w:pPr>
      <w:ind w:leftChars="20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18</Pages>
  <TotalTime>1</TotalTime>
  <ScaleCrop>false</ScaleCrop>
  <LinksUpToDate>false</LinksUpToDate>
  <Application>WPS Office_12.1.23155.23155_F1E327BC-269C-435d-A152-05C5408002CA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Sojan Thomas T</cp:lastModifiedBy>
  <dcterms:modified xsi:type="dcterms:W3CDTF">2026-07-07T13:48:01Z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6CF565B42D850F4339B64C6A6C199775_42</vt:lpwstr>
  </property>
</Properties>
</file>