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CC12FA">
      <w:pPr>
        <w:spacing w:before="2000"/>
      </w:pPr>
    </w:p>
    <w:p w14:paraId="4B450341">
      <w:pPr>
        <w:jc w:val="center"/>
      </w:pPr>
      <w:r>
        <w:rPr>
          <w:rFonts w:ascii="Calibri" w:hAnsi="Calibri" w:eastAsia="Calibri" w:cs="Calibri"/>
          <w:b/>
          <w:bCs/>
          <w:color w:val="1F4E79"/>
          <w:sz w:val="80"/>
          <w:szCs w:val="80"/>
        </w:rPr>
        <w:t>HRMS</w:t>
      </w:r>
    </w:p>
    <w:p w14:paraId="39369243">
      <w:pPr>
        <w:spacing w:after="200"/>
        <w:jc w:val="center"/>
      </w:pPr>
      <w:r>
        <w:rPr>
          <w:rFonts w:ascii="Calibri" w:hAnsi="Calibri" w:eastAsia="Calibri" w:cs="Calibri"/>
          <w:color w:val="2E75B6"/>
          <w:sz w:val="32"/>
          <w:szCs w:val="32"/>
        </w:rPr>
        <w:t>Human Resource Management System</w:t>
      </w:r>
    </w:p>
    <w:p w14:paraId="10FEB723">
      <w:pPr>
        <w:pBdr>
          <w:top w:val="single" w:color="2E75B6" w:sz="12" w:space="0"/>
          <w:bottom w:val="single" w:color="2E75B6" w:sz="12" w:space="0"/>
        </w:pBdr>
        <w:spacing w:before="200" w:after="200"/>
        <w:jc w:val="center"/>
      </w:pPr>
      <w:r>
        <w:rPr>
          <w:rFonts w:ascii="Calibri" w:hAnsi="Calibri" w:eastAsia="Calibri" w:cs="Calibri"/>
          <w:b/>
          <w:bCs/>
          <w:color w:val="404040"/>
          <w:sz w:val="40"/>
          <w:szCs w:val="40"/>
        </w:rPr>
        <w:t>Solution Design Document</w:t>
      </w:r>
    </w:p>
    <w:p w14:paraId="78F840DE">
      <w:pPr>
        <w:spacing w:before="200"/>
      </w:pPr>
    </w:p>
    <w:p w14:paraId="68A829BC">
      <w:pPr>
        <w:spacing w:after="600"/>
        <w:jc w:val="center"/>
      </w:pPr>
      <w:r>
        <w:rPr>
          <w:i/>
          <w:iCs/>
          <w:color w:val="404040"/>
          <w:sz w:val="22"/>
          <w:szCs w:val="22"/>
        </w:rPr>
        <w:t>Metadata-Driven Architecture  |  Custom ERP  |  Built from Scratch</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00"/>
      </w:tblGrid>
      <w:tr w14:paraId="48C5CC4C">
        <w:trPr>
          <w:jc w:val="center"/>
        </w:trPr>
        <w:tc>
          <w:tcPr>
            <w:tcW w:w="2500" w:type="dxa"/>
            <w:shd w:val="clear" w:color="auto" w:fill="1F4E79"/>
          </w:tcPr>
          <w:p w14:paraId="7A8AB7F5">
            <w:r>
              <w:rPr>
                <w:b/>
                <w:bCs/>
                <w:color w:val="FFFFFF"/>
                <w:sz w:val="20"/>
                <w:szCs w:val="20"/>
              </w:rPr>
              <w:t>Document Version</w:t>
            </w:r>
          </w:p>
        </w:tc>
        <w:tc>
          <w:tcPr>
            <w:tcW w:w="3500" w:type="dxa"/>
            <w:shd w:val="clear" w:color="auto" w:fill="D6E4F0"/>
          </w:tcPr>
          <w:p w14:paraId="36027039">
            <w:r>
              <w:rPr>
                <w:color w:val="000000"/>
                <w:sz w:val="20"/>
                <w:szCs w:val="20"/>
              </w:rPr>
              <w:t>v2.0</w:t>
            </w:r>
          </w:p>
        </w:tc>
      </w:tr>
      <w:tr w14:paraId="511BA6CC">
        <w:trPr>
          <w:jc w:val="center"/>
        </w:trPr>
        <w:tc>
          <w:tcPr>
            <w:tcW w:w="2500" w:type="dxa"/>
            <w:shd w:val="clear" w:color="auto" w:fill="1F4E79"/>
          </w:tcPr>
          <w:p w14:paraId="589908BA">
            <w:r>
              <w:rPr>
                <w:b/>
                <w:bCs/>
                <w:color w:val="FFFFFF"/>
                <w:sz w:val="20"/>
                <w:szCs w:val="20"/>
              </w:rPr>
              <w:t>Previous Version</w:t>
            </w:r>
          </w:p>
        </w:tc>
        <w:tc>
          <w:tcPr>
            <w:tcW w:w="3500" w:type="dxa"/>
            <w:shd w:val="clear" w:color="auto" w:fill="D6E4F0"/>
          </w:tcPr>
          <w:p w14:paraId="4902318E">
            <w:r>
              <w:rPr>
                <w:color w:val="000000"/>
                <w:sz w:val="20"/>
                <w:szCs w:val="20"/>
              </w:rPr>
              <w:t>v1.0</w:t>
            </w:r>
          </w:p>
        </w:tc>
      </w:tr>
      <w:tr w14:paraId="4F05BB74">
        <w:trPr>
          <w:jc w:val="center"/>
        </w:trPr>
        <w:tc>
          <w:tcPr>
            <w:tcW w:w="2500" w:type="dxa"/>
            <w:shd w:val="clear" w:color="auto" w:fill="1F4E79"/>
          </w:tcPr>
          <w:p w14:paraId="1B0BF815">
            <w:r>
              <w:rPr>
                <w:b/>
                <w:bCs/>
                <w:color w:val="FFFFFF"/>
                <w:sz w:val="20"/>
                <w:szCs w:val="20"/>
              </w:rPr>
              <w:t>Prepared Date</w:t>
            </w:r>
          </w:p>
        </w:tc>
        <w:tc>
          <w:tcPr>
            <w:tcW w:w="3500" w:type="dxa"/>
            <w:shd w:val="clear" w:color="auto" w:fill="D6E4F0"/>
          </w:tcPr>
          <w:p w14:paraId="668473E3">
            <w:r>
              <w:rPr>
                <w:color w:val="000000"/>
                <w:sz w:val="20"/>
                <w:szCs w:val="20"/>
              </w:rPr>
              <w:t>July 2026</w:t>
            </w:r>
          </w:p>
        </w:tc>
      </w:tr>
      <w:tr w14:paraId="74866C63">
        <w:trPr>
          <w:jc w:val="center"/>
        </w:trPr>
        <w:tc>
          <w:tcPr>
            <w:tcW w:w="2500" w:type="dxa"/>
            <w:shd w:val="clear" w:color="auto" w:fill="1F4E79"/>
          </w:tcPr>
          <w:p w14:paraId="0B6F6998">
            <w:r>
              <w:rPr>
                <w:b/>
                <w:bCs/>
                <w:color w:val="FFFFFF"/>
                <w:sz w:val="20"/>
                <w:szCs w:val="20"/>
              </w:rPr>
              <w:t>Status</w:t>
            </w:r>
          </w:p>
        </w:tc>
        <w:tc>
          <w:tcPr>
            <w:tcW w:w="3500" w:type="dxa"/>
            <w:shd w:val="clear" w:color="auto" w:fill="D6E4F0"/>
          </w:tcPr>
          <w:p w14:paraId="6AC650C1">
            <w:r>
              <w:rPr>
                <w:color w:val="000000"/>
                <w:sz w:val="20"/>
                <w:szCs w:val="20"/>
              </w:rPr>
              <w:t>Draft — For Review</w:t>
            </w:r>
          </w:p>
        </w:tc>
      </w:tr>
      <w:tr w14:paraId="3F5FF565">
        <w:trPr>
          <w:jc w:val="center"/>
        </w:trPr>
        <w:tc>
          <w:tcPr>
            <w:tcW w:w="2500" w:type="dxa"/>
            <w:shd w:val="clear" w:color="auto" w:fill="1F4E79"/>
          </w:tcPr>
          <w:p w14:paraId="05BA3140">
            <w:r>
              <w:rPr>
                <w:b/>
                <w:bCs/>
                <w:color w:val="FFFFFF"/>
                <w:sz w:val="20"/>
                <w:szCs w:val="20"/>
              </w:rPr>
              <w:t>Classification</w:t>
            </w:r>
          </w:p>
        </w:tc>
        <w:tc>
          <w:tcPr>
            <w:tcW w:w="3500" w:type="dxa"/>
            <w:shd w:val="clear" w:color="auto" w:fill="D6E4F0"/>
          </w:tcPr>
          <w:p w14:paraId="345AD1A0">
            <w:r>
              <w:rPr>
                <w:color w:val="000000"/>
                <w:sz w:val="20"/>
                <w:szCs w:val="20"/>
              </w:rPr>
              <w:t>Confidential</w:t>
            </w:r>
          </w:p>
        </w:tc>
      </w:tr>
      <w:tr w14:paraId="4C0A62F0">
        <w:trPr>
          <w:jc w:val="center"/>
        </w:trPr>
        <w:tc>
          <w:tcPr>
            <w:tcW w:w="2500" w:type="dxa"/>
            <w:shd w:val="clear" w:color="auto" w:fill="1F4E79"/>
          </w:tcPr>
          <w:p w14:paraId="5CB4DDBE">
            <w:r>
              <w:rPr>
                <w:b/>
                <w:bCs/>
                <w:color w:val="FFFFFF"/>
                <w:sz w:val="20"/>
                <w:szCs w:val="20"/>
              </w:rPr>
              <w:t>Key Update</w:t>
            </w:r>
          </w:p>
        </w:tc>
        <w:tc>
          <w:tcPr>
            <w:tcW w:w="3500" w:type="dxa"/>
            <w:shd w:val="clear" w:color="auto" w:fill="D6E4F0"/>
          </w:tcPr>
          <w:p w14:paraId="6B18AC24">
            <w:r>
              <w:rPr>
                <w:color w:val="000000"/>
                <w:sz w:val="20"/>
                <w:szCs w:val="20"/>
              </w:rPr>
              <w:t>Metadata-Driven Architecture Added</w:t>
            </w:r>
          </w:p>
        </w:tc>
      </w:tr>
    </w:tbl>
    <w:p w14:paraId="36B057A4">
      <w:r>
        <w:br w:type="page"/>
      </w:r>
    </w:p>
    <w:sdt>
      <w:sdtPr>
        <w:rPr>
          <w:rFonts w:ascii="SimSun" w:hAnsi="SimSun" w:eastAsia="SimSun" w:cs="Calibri"/>
          <w:color w:val="000000"/>
          <w:sz w:val="21"/>
          <w:szCs w:val="20"/>
        </w:rPr>
        <w:id w:val="757092525"/>
        <w15:color w:val="DBDBDB"/>
        <w:docPartObj>
          <w:docPartGallery w:val="Table of Contents"/>
          <w:docPartUnique/>
        </w:docPartObj>
      </w:sdtPr>
      <w:sdtEndPr>
        <w:rPr>
          <w:rFonts w:ascii="Calibri" w:hAnsi="Calibri" w:eastAsia="Calibri" w:cs="Calibri"/>
          <w:b/>
          <w:bCs/>
          <w:color w:val="1F4E79"/>
          <w:sz w:val="28"/>
          <w:szCs w:val="28"/>
        </w:rPr>
      </w:sdtEndPr>
      <w:sdtContent>
        <w:p w14:paraId="1A86E24D">
          <w:pPr>
            <w:spacing w:before="0" w:beforeLines="0" w:after="0" w:afterLines="0" w:line="240" w:lineRule="auto"/>
            <w:ind w:left="0" w:leftChars="0" w:right="0" w:rightChars="0" w:firstLine="0" w:firstLineChars="0"/>
            <w:jc w:val="center"/>
            <w:rPr>
              <w:rFonts w:hint="default"/>
              <w:lang w:val="en-US"/>
            </w:rPr>
          </w:pPr>
          <w:r>
            <w:rPr>
              <w:rFonts w:hint="default" w:ascii="Calibri" w:hAnsi="Calibri" w:eastAsia="Calibri" w:cs="Calibri"/>
              <w:b/>
              <w:bCs/>
              <w:color w:val="1F4E79"/>
              <w:sz w:val="28"/>
              <w:szCs w:val="28"/>
              <w:lang w:val="en-US"/>
            </w:rPr>
            <w:t>Index</w:t>
          </w:r>
        </w:p>
        <w:p w14:paraId="02A5F292">
          <w:pPr>
            <w:pStyle w:val="19"/>
            <w:tabs>
              <w:tab w:val="right" w:leader="dot" w:pos="9360"/>
            </w:tabs>
            <w:rPr>
              <w:b/>
            </w:rPr>
          </w:pPr>
          <w:r>
            <w:fldChar w:fldCharType="begin"/>
          </w:r>
          <w:r>
            <w:instrText xml:space="preserve">TOC \o "1-2" \h \u </w:instrText>
          </w:r>
          <w:r>
            <w:fldChar w:fldCharType="separate"/>
          </w:r>
          <w:r>
            <w:rPr>
              <w:b/>
            </w:rPr>
            <w:fldChar w:fldCharType="begin"/>
          </w:r>
          <w:r>
            <w:rPr>
              <w:b/>
            </w:rPr>
            <w:instrText xml:space="preserve"> HYPERLINK \l _Toc1825256279 </w:instrText>
          </w:r>
          <w:r>
            <w:rPr>
              <w:b/>
            </w:rPr>
            <w:fldChar w:fldCharType="separate"/>
          </w:r>
          <w:r>
            <w:rPr>
              <w:b/>
            </w:rPr>
            <w:t>1. Executive Summary</w:t>
          </w:r>
          <w:r>
            <w:rPr>
              <w:b/>
            </w:rPr>
            <w:tab/>
          </w:r>
          <w:r>
            <w:rPr>
              <w:b/>
            </w:rPr>
            <w:fldChar w:fldCharType="begin"/>
          </w:r>
          <w:r>
            <w:rPr>
              <w:b/>
            </w:rPr>
            <w:instrText xml:space="preserve"> PAGEREF _Toc1825256279 \h </w:instrText>
          </w:r>
          <w:r>
            <w:rPr>
              <w:b/>
            </w:rPr>
            <w:fldChar w:fldCharType="separate"/>
          </w:r>
          <w:r>
            <w:rPr>
              <w:b/>
            </w:rPr>
            <w:t>2</w:t>
          </w:r>
          <w:r>
            <w:rPr>
              <w:b/>
            </w:rPr>
            <w:fldChar w:fldCharType="end"/>
          </w:r>
          <w:r>
            <w:rPr>
              <w:b/>
            </w:rPr>
            <w:fldChar w:fldCharType="end"/>
          </w:r>
        </w:p>
        <w:p w14:paraId="63CDA807">
          <w:pPr>
            <w:pStyle w:val="19"/>
            <w:tabs>
              <w:tab w:val="right" w:leader="dot" w:pos="9360"/>
            </w:tabs>
            <w:rPr>
              <w:b/>
            </w:rPr>
          </w:pPr>
          <w:r>
            <w:rPr>
              <w:b/>
            </w:rPr>
            <w:fldChar w:fldCharType="begin"/>
          </w:r>
          <w:r>
            <w:rPr>
              <w:b/>
            </w:rPr>
            <w:instrText xml:space="preserve"> HYPERLINK \l _Toc278383758 </w:instrText>
          </w:r>
          <w:r>
            <w:rPr>
              <w:b/>
            </w:rPr>
            <w:fldChar w:fldCharType="separate"/>
          </w:r>
          <w:r>
            <w:rPr>
              <w:b/>
            </w:rPr>
            <w:t>2. Project Scope</w:t>
          </w:r>
          <w:r>
            <w:rPr>
              <w:b/>
            </w:rPr>
            <w:tab/>
          </w:r>
          <w:r>
            <w:rPr>
              <w:b/>
            </w:rPr>
            <w:fldChar w:fldCharType="begin"/>
          </w:r>
          <w:r>
            <w:rPr>
              <w:b/>
            </w:rPr>
            <w:instrText xml:space="preserve"> PAGEREF _Toc278383758 \h </w:instrText>
          </w:r>
          <w:r>
            <w:rPr>
              <w:b/>
            </w:rPr>
            <w:fldChar w:fldCharType="separate"/>
          </w:r>
          <w:r>
            <w:rPr>
              <w:b/>
            </w:rPr>
            <w:t>4</w:t>
          </w:r>
          <w:r>
            <w:rPr>
              <w:b/>
            </w:rPr>
            <w:fldChar w:fldCharType="end"/>
          </w:r>
          <w:r>
            <w:rPr>
              <w:b/>
            </w:rPr>
            <w:fldChar w:fldCharType="end"/>
          </w:r>
        </w:p>
        <w:p w14:paraId="60A214F0">
          <w:pPr>
            <w:pStyle w:val="20"/>
            <w:tabs>
              <w:tab w:val="right" w:leader="dot" w:pos="9360"/>
            </w:tabs>
          </w:pPr>
          <w:r>
            <w:fldChar w:fldCharType="begin"/>
          </w:r>
          <w:r>
            <w:instrText xml:space="preserve"> HYPERLINK \l _Toc1576437540 </w:instrText>
          </w:r>
          <w:r>
            <w:fldChar w:fldCharType="separate"/>
          </w:r>
          <w:r>
            <w:t>2.1 In Scope</w:t>
          </w:r>
          <w:r>
            <w:tab/>
          </w:r>
          <w:r>
            <w:fldChar w:fldCharType="begin"/>
          </w:r>
          <w:r>
            <w:instrText xml:space="preserve"> PAGEREF _Toc1576437540 \h </w:instrText>
          </w:r>
          <w:r>
            <w:fldChar w:fldCharType="separate"/>
          </w:r>
          <w:r>
            <w:t>4</w:t>
          </w:r>
          <w:r>
            <w:fldChar w:fldCharType="end"/>
          </w:r>
          <w:r>
            <w:fldChar w:fldCharType="end"/>
          </w:r>
        </w:p>
        <w:p w14:paraId="52C1F049">
          <w:pPr>
            <w:pStyle w:val="20"/>
            <w:tabs>
              <w:tab w:val="right" w:leader="dot" w:pos="9360"/>
            </w:tabs>
          </w:pPr>
          <w:r>
            <w:fldChar w:fldCharType="begin"/>
          </w:r>
          <w:r>
            <w:instrText xml:space="preserve"> HYPERLINK \l _Toc1679981741 </w:instrText>
          </w:r>
          <w:r>
            <w:fldChar w:fldCharType="separate"/>
          </w:r>
          <w:r>
            <w:t>2.2 Out of Scope</w:t>
          </w:r>
          <w:r>
            <w:tab/>
          </w:r>
          <w:r>
            <w:fldChar w:fldCharType="begin"/>
          </w:r>
          <w:r>
            <w:instrText xml:space="preserve"> PAGEREF _Toc1679981741 \h </w:instrText>
          </w:r>
          <w:r>
            <w:fldChar w:fldCharType="separate"/>
          </w:r>
          <w:r>
            <w:t>4</w:t>
          </w:r>
          <w:r>
            <w:fldChar w:fldCharType="end"/>
          </w:r>
          <w:r>
            <w:fldChar w:fldCharType="end"/>
          </w:r>
        </w:p>
        <w:p w14:paraId="7748DEA5">
          <w:pPr>
            <w:pStyle w:val="20"/>
            <w:tabs>
              <w:tab w:val="right" w:leader="dot" w:pos="9360"/>
            </w:tabs>
          </w:pPr>
          <w:r>
            <w:fldChar w:fldCharType="begin"/>
          </w:r>
          <w:r>
            <w:instrText xml:space="preserve"> HYPERLINK \l _Toc338130231 </w:instrText>
          </w:r>
          <w:r>
            <w:fldChar w:fldCharType="separate"/>
          </w:r>
          <w:r>
            <w:t>2.3 Assumptions</w:t>
          </w:r>
          <w:bookmarkStart w:id="39" w:name="_GoBack"/>
          <w:bookmarkEnd w:id="39"/>
          <w:r>
            <w:tab/>
          </w:r>
          <w:r>
            <w:fldChar w:fldCharType="begin"/>
          </w:r>
          <w:r>
            <w:instrText xml:space="preserve"> PAGEREF _Toc338130231 \h </w:instrText>
          </w:r>
          <w:r>
            <w:fldChar w:fldCharType="separate"/>
          </w:r>
          <w:r>
            <w:t>4</w:t>
          </w:r>
          <w:r>
            <w:fldChar w:fldCharType="end"/>
          </w:r>
          <w:r>
            <w:fldChar w:fldCharType="end"/>
          </w:r>
        </w:p>
        <w:p w14:paraId="51455CCC">
          <w:pPr>
            <w:pStyle w:val="19"/>
            <w:tabs>
              <w:tab w:val="right" w:leader="dot" w:pos="9360"/>
            </w:tabs>
            <w:rPr>
              <w:b/>
            </w:rPr>
          </w:pPr>
          <w:r>
            <w:rPr>
              <w:b/>
            </w:rPr>
            <w:fldChar w:fldCharType="begin"/>
          </w:r>
          <w:r>
            <w:rPr>
              <w:b/>
            </w:rPr>
            <w:instrText xml:space="preserve"> HYPERLINK \l _Toc713062455 </w:instrText>
          </w:r>
          <w:r>
            <w:rPr>
              <w:b/>
            </w:rPr>
            <w:fldChar w:fldCharType="separate"/>
          </w:r>
          <w:r>
            <w:rPr>
              <w:b/>
            </w:rPr>
            <w:t>3. Metadata-Driven Architecture</w:t>
          </w:r>
          <w:r>
            <w:rPr>
              <w:b/>
            </w:rPr>
            <w:tab/>
          </w:r>
          <w:r>
            <w:rPr>
              <w:b/>
            </w:rPr>
            <w:fldChar w:fldCharType="begin"/>
          </w:r>
          <w:r>
            <w:rPr>
              <w:b/>
            </w:rPr>
            <w:instrText xml:space="preserve"> PAGEREF _Toc713062455 \h </w:instrText>
          </w:r>
          <w:r>
            <w:rPr>
              <w:b/>
            </w:rPr>
            <w:fldChar w:fldCharType="separate"/>
          </w:r>
          <w:r>
            <w:rPr>
              <w:b/>
            </w:rPr>
            <w:t>5</w:t>
          </w:r>
          <w:r>
            <w:rPr>
              <w:b/>
            </w:rPr>
            <w:fldChar w:fldCharType="end"/>
          </w:r>
          <w:r>
            <w:rPr>
              <w:b/>
            </w:rPr>
            <w:fldChar w:fldCharType="end"/>
          </w:r>
        </w:p>
        <w:p w14:paraId="321371CE">
          <w:pPr>
            <w:pStyle w:val="20"/>
            <w:tabs>
              <w:tab w:val="right" w:leader="dot" w:pos="9360"/>
            </w:tabs>
          </w:pPr>
          <w:r>
            <w:fldChar w:fldCharType="begin"/>
          </w:r>
          <w:r>
            <w:instrText xml:space="preserve"> HYPERLINK \l _Toc1481930925 </w:instrText>
          </w:r>
          <w:r>
            <w:fldChar w:fldCharType="separate"/>
          </w:r>
          <w:r>
            <w:t>3.1 Core Design Principle</w:t>
          </w:r>
          <w:r>
            <w:tab/>
          </w:r>
          <w:r>
            <w:fldChar w:fldCharType="begin"/>
          </w:r>
          <w:r>
            <w:instrText xml:space="preserve"> PAGEREF _Toc1481930925 \h </w:instrText>
          </w:r>
          <w:r>
            <w:fldChar w:fldCharType="separate"/>
          </w:r>
          <w:r>
            <w:t>5</w:t>
          </w:r>
          <w:r>
            <w:fldChar w:fldCharType="end"/>
          </w:r>
          <w:r>
            <w:fldChar w:fldCharType="end"/>
          </w:r>
        </w:p>
        <w:p w14:paraId="585DCE56">
          <w:pPr>
            <w:pStyle w:val="20"/>
            <w:tabs>
              <w:tab w:val="right" w:leader="dot" w:pos="9360"/>
            </w:tabs>
          </w:pPr>
          <w:r>
            <w:fldChar w:fldCharType="begin"/>
          </w:r>
          <w:r>
            <w:instrText xml:space="preserve"> HYPERLINK \l _Toc297718569 </w:instrText>
          </w:r>
          <w:r>
            <w:fldChar w:fldCharType="separate"/>
          </w:r>
          <w:r>
            <w:t>3.2 Configuration Versioning Model</w:t>
          </w:r>
          <w:r>
            <w:tab/>
          </w:r>
          <w:r>
            <w:fldChar w:fldCharType="begin"/>
          </w:r>
          <w:r>
            <w:instrText xml:space="preserve"> PAGEREF _Toc297718569 \h </w:instrText>
          </w:r>
          <w:r>
            <w:fldChar w:fldCharType="separate"/>
          </w:r>
          <w:r>
            <w:t>5</w:t>
          </w:r>
          <w:r>
            <w:fldChar w:fldCharType="end"/>
          </w:r>
          <w:r>
            <w:fldChar w:fldCharType="end"/>
          </w:r>
        </w:p>
        <w:p w14:paraId="516D3AA3">
          <w:pPr>
            <w:pStyle w:val="19"/>
            <w:tabs>
              <w:tab w:val="right" w:leader="dot" w:pos="9360"/>
            </w:tabs>
            <w:rPr>
              <w:b/>
            </w:rPr>
          </w:pPr>
          <w:r>
            <w:rPr>
              <w:b/>
            </w:rPr>
            <w:fldChar w:fldCharType="begin"/>
          </w:r>
          <w:r>
            <w:rPr>
              <w:b/>
            </w:rPr>
            <w:instrText xml:space="preserve"> HYPERLINK \l _Toc119091673 </w:instrText>
          </w:r>
          <w:r>
            <w:rPr>
              <w:b/>
            </w:rPr>
            <w:fldChar w:fldCharType="separate"/>
          </w:r>
          <w:r>
            <w:rPr>
              <w:b/>
            </w:rPr>
            <w:t>4. Configuration Entity Catalog</w:t>
          </w:r>
          <w:r>
            <w:rPr>
              <w:b/>
            </w:rPr>
            <w:tab/>
          </w:r>
          <w:r>
            <w:rPr>
              <w:b/>
            </w:rPr>
            <w:fldChar w:fldCharType="begin"/>
          </w:r>
          <w:r>
            <w:rPr>
              <w:b/>
            </w:rPr>
            <w:instrText xml:space="preserve"> PAGEREF _Toc119091673 \h </w:instrText>
          </w:r>
          <w:r>
            <w:rPr>
              <w:b/>
            </w:rPr>
            <w:fldChar w:fldCharType="separate"/>
          </w:r>
          <w:r>
            <w:rPr>
              <w:b/>
            </w:rPr>
            <w:t>6</w:t>
          </w:r>
          <w:r>
            <w:rPr>
              <w:b/>
            </w:rPr>
            <w:fldChar w:fldCharType="end"/>
          </w:r>
          <w:r>
            <w:rPr>
              <w:b/>
            </w:rPr>
            <w:fldChar w:fldCharType="end"/>
          </w:r>
        </w:p>
        <w:p w14:paraId="522B4265">
          <w:pPr>
            <w:pStyle w:val="20"/>
            <w:tabs>
              <w:tab w:val="right" w:leader="dot" w:pos="9360"/>
            </w:tabs>
          </w:pPr>
          <w:r>
            <w:fldChar w:fldCharType="begin"/>
          </w:r>
          <w:r>
            <w:instrText xml:space="preserve"> HYPERLINK \l _Toc118989107 </w:instrText>
          </w:r>
          <w:r>
            <w:fldChar w:fldCharType="separate"/>
          </w:r>
          <w:r>
            <w:t>4.1 BPV Engine Configuration Entities</w:t>
          </w:r>
          <w:r>
            <w:tab/>
          </w:r>
          <w:r>
            <w:fldChar w:fldCharType="begin"/>
          </w:r>
          <w:r>
            <w:instrText xml:space="preserve"> PAGEREF _Toc118989107 \h </w:instrText>
          </w:r>
          <w:r>
            <w:fldChar w:fldCharType="separate"/>
          </w:r>
          <w:r>
            <w:t>6</w:t>
          </w:r>
          <w:r>
            <w:fldChar w:fldCharType="end"/>
          </w:r>
          <w:r>
            <w:fldChar w:fldCharType="end"/>
          </w:r>
        </w:p>
        <w:p w14:paraId="19445ADD">
          <w:pPr>
            <w:pStyle w:val="20"/>
            <w:tabs>
              <w:tab w:val="right" w:leader="dot" w:pos="9360"/>
            </w:tabs>
          </w:pPr>
          <w:r>
            <w:fldChar w:fldCharType="begin"/>
          </w:r>
          <w:r>
            <w:instrText xml:space="preserve"> HYPERLINK \l _Toc542645992 </w:instrText>
          </w:r>
          <w:r>
            <w:fldChar w:fldCharType="separate"/>
          </w:r>
          <w:r>
            <w:t>4.2 Time Reporting Configuration Entities</w:t>
          </w:r>
          <w:r>
            <w:tab/>
          </w:r>
          <w:r>
            <w:fldChar w:fldCharType="begin"/>
          </w:r>
          <w:r>
            <w:instrText xml:space="preserve"> PAGEREF _Toc542645992 \h </w:instrText>
          </w:r>
          <w:r>
            <w:fldChar w:fldCharType="separate"/>
          </w:r>
          <w:r>
            <w:t>6</w:t>
          </w:r>
          <w:r>
            <w:fldChar w:fldCharType="end"/>
          </w:r>
          <w:r>
            <w:fldChar w:fldCharType="end"/>
          </w:r>
        </w:p>
        <w:p w14:paraId="418CB24C">
          <w:pPr>
            <w:pStyle w:val="20"/>
            <w:tabs>
              <w:tab w:val="right" w:leader="dot" w:pos="9360"/>
            </w:tabs>
          </w:pPr>
          <w:r>
            <w:fldChar w:fldCharType="begin"/>
          </w:r>
          <w:r>
            <w:instrText xml:space="preserve"> HYPERLINK \l _Toc2035622382 </w:instrText>
          </w:r>
          <w:r>
            <w:fldChar w:fldCharType="separate"/>
          </w:r>
          <w:r>
            <w:t>4.3 Salary Structure Configuration Entities</w:t>
          </w:r>
          <w:r>
            <w:tab/>
          </w:r>
          <w:r>
            <w:fldChar w:fldCharType="begin"/>
          </w:r>
          <w:r>
            <w:instrText xml:space="preserve"> PAGEREF _Toc2035622382 \h </w:instrText>
          </w:r>
          <w:r>
            <w:fldChar w:fldCharType="separate"/>
          </w:r>
          <w:r>
            <w:t>7</w:t>
          </w:r>
          <w:r>
            <w:fldChar w:fldCharType="end"/>
          </w:r>
          <w:r>
            <w:fldChar w:fldCharType="end"/>
          </w:r>
        </w:p>
        <w:p w14:paraId="74544242">
          <w:pPr>
            <w:pStyle w:val="20"/>
            <w:tabs>
              <w:tab w:val="right" w:leader="dot" w:pos="9360"/>
            </w:tabs>
          </w:pPr>
          <w:r>
            <w:fldChar w:fldCharType="begin"/>
          </w:r>
          <w:r>
            <w:instrText xml:space="preserve"> HYPERLINK \l _Toc1143393917 </w:instrText>
          </w:r>
          <w:r>
            <w:fldChar w:fldCharType="separate"/>
          </w:r>
          <w:r>
            <w:t>4.4 Efficiency Evaluation Configuration Entities</w:t>
          </w:r>
          <w:r>
            <w:tab/>
          </w:r>
          <w:r>
            <w:fldChar w:fldCharType="begin"/>
          </w:r>
          <w:r>
            <w:instrText xml:space="preserve"> PAGEREF _Toc1143393917 \h </w:instrText>
          </w:r>
          <w:r>
            <w:fldChar w:fldCharType="separate"/>
          </w:r>
          <w:r>
            <w:t>7</w:t>
          </w:r>
          <w:r>
            <w:fldChar w:fldCharType="end"/>
          </w:r>
          <w:r>
            <w:fldChar w:fldCharType="end"/>
          </w:r>
        </w:p>
        <w:p w14:paraId="0DDA0388">
          <w:pPr>
            <w:pStyle w:val="20"/>
            <w:tabs>
              <w:tab w:val="right" w:leader="dot" w:pos="9360"/>
            </w:tabs>
          </w:pPr>
          <w:r>
            <w:fldChar w:fldCharType="begin"/>
          </w:r>
          <w:r>
            <w:instrText xml:space="preserve"> HYPERLINK \l _Toc1337889663 </w:instrText>
          </w:r>
          <w:r>
            <w:fldChar w:fldCharType="separate"/>
          </w:r>
          <w:r>
            <w:t>4.5 Data Ownership Configuration Entities</w:t>
          </w:r>
          <w:r>
            <w:tab/>
          </w:r>
          <w:r>
            <w:fldChar w:fldCharType="begin"/>
          </w:r>
          <w:r>
            <w:instrText xml:space="preserve"> PAGEREF _Toc1337889663 \h </w:instrText>
          </w:r>
          <w:r>
            <w:fldChar w:fldCharType="separate"/>
          </w:r>
          <w:r>
            <w:t>8</w:t>
          </w:r>
          <w:r>
            <w:fldChar w:fldCharType="end"/>
          </w:r>
          <w:r>
            <w:fldChar w:fldCharType="end"/>
          </w:r>
        </w:p>
        <w:p w14:paraId="3754C8D4">
          <w:pPr>
            <w:pStyle w:val="20"/>
            <w:tabs>
              <w:tab w:val="right" w:leader="dot" w:pos="9360"/>
            </w:tabs>
          </w:pPr>
          <w:r>
            <w:fldChar w:fldCharType="begin"/>
          </w:r>
          <w:r>
            <w:instrText xml:space="preserve"> HYPERLINK \l _Toc1757781951 </w:instrText>
          </w:r>
          <w:r>
            <w:fldChar w:fldCharType="separate"/>
          </w:r>
          <w:r>
            <w:t>4.6 Documentation Compliance Configuration Entities</w:t>
          </w:r>
          <w:r>
            <w:tab/>
          </w:r>
          <w:r>
            <w:fldChar w:fldCharType="begin"/>
          </w:r>
          <w:r>
            <w:instrText xml:space="preserve"> PAGEREF _Toc1757781951 \h </w:instrText>
          </w:r>
          <w:r>
            <w:fldChar w:fldCharType="separate"/>
          </w:r>
          <w:r>
            <w:t>8</w:t>
          </w:r>
          <w:r>
            <w:fldChar w:fldCharType="end"/>
          </w:r>
          <w:r>
            <w:fldChar w:fldCharType="end"/>
          </w:r>
        </w:p>
        <w:p w14:paraId="06234D16">
          <w:pPr>
            <w:pStyle w:val="20"/>
            <w:tabs>
              <w:tab w:val="right" w:leader="dot" w:pos="9360"/>
            </w:tabs>
          </w:pPr>
          <w:r>
            <w:fldChar w:fldCharType="begin"/>
          </w:r>
          <w:r>
            <w:instrText xml:space="preserve"> HYPERLINK \l _Toc108718678 </w:instrText>
          </w:r>
          <w:r>
            <w:fldChar w:fldCharType="separate"/>
          </w:r>
          <w:r>
            <w:t>4.7 Reward and Royalty Configuration Entities</w:t>
          </w:r>
          <w:r>
            <w:tab/>
          </w:r>
          <w:r>
            <w:fldChar w:fldCharType="begin"/>
          </w:r>
          <w:r>
            <w:instrText xml:space="preserve"> PAGEREF _Toc108718678 \h </w:instrText>
          </w:r>
          <w:r>
            <w:fldChar w:fldCharType="separate"/>
          </w:r>
          <w:r>
            <w:t>8</w:t>
          </w:r>
          <w:r>
            <w:fldChar w:fldCharType="end"/>
          </w:r>
          <w:r>
            <w:fldChar w:fldCharType="end"/>
          </w:r>
        </w:p>
        <w:p w14:paraId="17DEBD3D">
          <w:pPr>
            <w:pStyle w:val="20"/>
            <w:tabs>
              <w:tab w:val="right" w:leader="dot" w:pos="9360"/>
            </w:tabs>
          </w:pPr>
          <w:r>
            <w:fldChar w:fldCharType="begin"/>
          </w:r>
          <w:r>
            <w:instrText xml:space="preserve"> HYPERLINK \l _Toc1873721196 </w:instrText>
          </w:r>
          <w:r>
            <w:fldChar w:fldCharType="separate"/>
          </w:r>
          <w:r>
            <w:t>4.8 Beneficiary Configuration Entities</w:t>
          </w:r>
          <w:r>
            <w:tab/>
          </w:r>
          <w:r>
            <w:fldChar w:fldCharType="begin"/>
          </w:r>
          <w:r>
            <w:instrText xml:space="preserve"> PAGEREF _Toc1873721196 \h </w:instrText>
          </w:r>
          <w:r>
            <w:fldChar w:fldCharType="separate"/>
          </w:r>
          <w:r>
            <w:t>9</w:t>
          </w:r>
          <w:r>
            <w:fldChar w:fldCharType="end"/>
          </w:r>
          <w:r>
            <w:fldChar w:fldCharType="end"/>
          </w:r>
        </w:p>
        <w:p w14:paraId="0683AC36">
          <w:pPr>
            <w:pStyle w:val="20"/>
            <w:tabs>
              <w:tab w:val="right" w:leader="dot" w:pos="9360"/>
            </w:tabs>
          </w:pPr>
          <w:r>
            <w:fldChar w:fldCharType="begin"/>
          </w:r>
          <w:r>
            <w:instrText xml:space="preserve"> HYPERLINK \l _Toc931941564 </w:instrText>
          </w:r>
          <w:r>
            <w:fldChar w:fldCharType="separate"/>
          </w:r>
          <w:r>
            <w:t>4.9 System-Level Configuration Entities</w:t>
          </w:r>
          <w:r>
            <w:tab/>
          </w:r>
          <w:r>
            <w:fldChar w:fldCharType="begin"/>
          </w:r>
          <w:r>
            <w:instrText xml:space="preserve"> PAGEREF _Toc931941564 \h </w:instrText>
          </w:r>
          <w:r>
            <w:fldChar w:fldCharType="separate"/>
          </w:r>
          <w:r>
            <w:t>9</w:t>
          </w:r>
          <w:r>
            <w:fldChar w:fldCharType="end"/>
          </w:r>
          <w:r>
            <w:fldChar w:fldCharType="end"/>
          </w:r>
        </w:p>
        <w:p w14:paraId="5775EF6E">
          <w:pPr>
            <w:pStyle w:val="19"/>
            <w:tabs>
              <w:tab w:val="right" w:leader="dot" w:pos="9360"/>
            </w:tabs>
            <w:rPr>
              <w:b/>
            </w:rPr>
          </w:pPr>
          <w:r>
            <w:rPr>
              <w:b/>
            </w:rPr>
            <w:fldChar w:fldCharType="begin"/>
          </w:r>
          <w:r>
            <w:rPr>
              <w:b/>
            </w:rPr>
            <w:instrText xml:space="preserve"> HYPERLINK \l _Toc1543628577 </w:instrText>
          </w:r>
          <w:r>
            <w:rPr>
              <w:b/>
            </w:rPr>
            <w:fldChar w:fldCharType="separate"/>
          </w:r>
          <w:r>
            <w:rPr>
              <w:b/>
            </w:rPr>
            <w:t>5. System Overview</w:t>
          </w:r>
          <w:r>
            <w:rPr>
              <w:b/>
            </w:rPr>
            <w:tab/>
          </w:r>
          <w:r>
            <w:rPr>
              <w:b/>
            </w:rPr>
            <w:fldChar w:fldCharType="begin"/>
          </w:r>
          <w:r>
            <w:rPr>
              <w:b/>
            </w:rPr>
            <w:instrText xml:space="preserve"> PAGEREF _Toc1543628577 \h </w:instrText>
          </w:r>
          <w:r>
            <w:rPr>
              <w:b/>
            </w:rPr>
            <w:fldChar w:fldCharType="separate"/>
          </w:r>
          <w:r>
            <w:rPr>
              <w:b/>
            </w:rPr>
            <w:t>11</w:t>
          </w:r>
          <w:r>
            <w:rPr>
              <w:b/>
            </w:rPr>
            <w:fldChar w:fldCharType="end"/>
          </w:r>
          <w:r>
            <w:rPr>
              <w:b/>
            </w:rPr>
            <w:fldChar w:fldCharType="end"/>
          </w:r>
        </w:p>
        <w:p w14:paraId="6256B790">
          <w:pPr>
            <w:pStyle w:val="20"/>
            <w:tabs>
              <w:tab w:val="right" w:leader="dot" w:pos="9360"/>
            </w:tabs>
          </w:pPr>
          <w:r>
            <w:fldChar w:fldCharType="begin"/>
          </w:r>
          <w:r>
            <w:instrText xml:space="preserve"> HYPERLINK \l _Toc15554232 </w:instrText>
          </w:r>
          <w:r>
            <w:fldChar w:fldCharType="separate"/>
          </w:r>
          <w:r>
            <w:t>5.1 Module Map</w:t>
          </w:r>
          <w:r>
            <w:tab/>
          </w:r>
          <w:r>
            <w:fldChar w:fldCharType="begin"/>
          </w:r>
          <w:r>
            <w:instrText xml:space="preserve"> PAGEREF _Toc15554232 \h </w:instrText>
          </w:r>
          <w:r>
            <w:fldChar w:fldCharType="separate"/>
          </w:r>
          <w:r>
            <w:t>11</w:t>
          </w:r>
          <w:r>
            <w:fldChar w:fldCharType="end"/>
          </w:r>
          <w:r>
            <w:fldChar w:fldCharType="end"/>
          </w:r>
        </w:p>
        <w:p w14:paraId="59FEB027">
          <w:pPr>
            <w:pStyle w:val="19"/>
            <w:tabs>
              <w:tab w:val="right" w:leader="dot" w:pos="9360"/>
            </w:tabs>
            <w:rPr>
              <w:b/>
            </w:rPr>
          </w:pPr>
          <w:r>
            <w:rPr>
              <w:b/>
            </w:rPr>
            <w:fldChar w:fldCharType="begin"/>
          </w:r>
          <w:r>
            <w:rPr>
              <w:b/>
            </w:rPr>
            <w:instrText xml:space="preserve"> HYPERLINK \l _Toc1574455937 </w:instrText>
          </w:r>
          <w:r>
            <w:rPr>
              <w:b/>
            </w:rPr>
            <w:fldChar w:fldCharType="separate"/>
          </w:r>
          <w:r>
            <w:rPr>
              <w:b/>
            </w:rPr>
            <w:t>6. Functional Module Specifications</w:t>
          </w:r>
          <w:r>
            <w:rPr>
              <w:b/>
            </w:rPr>
            <w:tab/>
          </w:r>
          <w:r>
            <w:rPr>
              <w:b/>
            </w:rPr>
            <w:fldChar w:fldCharType="begin"/>
          </w:r>
          <w:r>
            <w:rPr>
              <w:b/>
            </w:rPr>
            <w:instrText xml:space="preserve"> PAGEREF _Toc1574455937 \h </w:instrText>
          </w:r>
          <w:r>
            <w:rPr>
              <w:b/>
            </w:rPr>
            <w:fldChar w:fldCharType="separate"/>
          </w:r>
          <w:r>
            <w:rPr>
              <w:b/>
            </w:rPr>
            <w:t>12</w:t>
          </w:r>
          <w:r>
            <w:rPr>
              <w:b/>
            </w:rPr>
            <w:fldChar w:fldCharType="end"/>
          </w:r>
          <w:r>
            <w:rPr>
              <w:b/>
            </w:rPr>
            <w:fldChar w:fldCharType="end"/>
          </w:r>
        </w:p>
        <w:p w14:paraId="272AFF62">
          <w:pPr>
            <w:pStyle w:val="20"/>
            <w:tabs>
              <w:tab w:val="right" w:leader="dot" w:pos="9360"/>
            </w:tabs>
          </w:pPr>
          <w:r>
            <w:fldChar w:fldCharType="begin"/>
          </w:r>
          <w:r>
            <w:instrText xml:space="preserve"> HYPERLINK \l _Toc587434825 </w:instrText>
          </w:r>
          <w:r>
            <w:fldChar w:fldCharType="separate"/>
          </w:r>
          <w:r>
            <w:t>6.1 Employee Master</w:t>
          </w:r>
          <w:r>
            <w:tab/>
          </w:r>
          <w:r>
            <w:fldChar w:fldCharType="begin"/>
          </w:r>
          <w:r>
            <w:instrText xml:space="preserve"> PAGEREF _Toc587434825 \h </w:instrText>
          </w:r>
          <w:r>
            <w:fldChar w:fldCharType="separate"/>
          </w:r>
          <w:r>
            <w:t>12</w:t>
          </w:r>
          <w:r>
            <w:fldChar w:fldCharType="end"/>
          </w:r>
          <w:r>
            <w:fldChar w:fldCharType="end"/>
          </w:r>
        </w:p>
        <w:p w14:paraId="4F3A884C">
          <w:pPr>
            <w:pStyle w:val="20"/>
            <w:tabs>
              <w:tab w:val="right" w:leader="dot" w:pos="9360"/>
            </w:tabs>
          </w:pPr>
          <w:r>
            <w:fldChar w:fldCharType="begin"/>
          </w:r>
          <w:r>
            <w:instrText xml:space="preserve"> HYPERLINK \l _Toc1034778516 </w:instrText>
          </w:r>
          <w:r>
            <w:fldChar w:fldCharType="separate"/>
          </w:r>
          <w:r>
            <w:t>6.2 Base Professional Value (BPV) Engine</w:t>
          </w:r>
          <w:r>
            <w:tab/>
          </w:r>
          <w:r>
            <w:fldChar w:fldCharType="begin"/>
          </w:r>
          <w:r>
            <w:instrText xml:space="preserve"> PAGEREF _Toc1034778516 \h </w:instrText>
          </w:r>
          <w:r>
            <w:fldChar w:fldCharType="separate"/>
          </w:r>
          <w:r>
            <w:t>12</w:t>
          </w:r>
          <w:r>
            <w:fldChar w:fldCharType="end"/>
          </w:r>
          <w:r>
            <w:fldChar w:fldCharType="end"/>
          </w:r>
        </w:p>
        <w:p w14:paraId="28F62C13">
          <w:pPr>
            <w:pStyle w:val="20"/>
            <w:tabs>
              <w:tab w:val="right" w:leader="dot" w:pos="9360"/>
            </w:tabs>
          </w:pPr>
          <w:r>
            <w:fldChar w:fldCharType="begin"/>
          </w:r>
          <w:r>
            <w:instrText xml:space="preserve"> HYPERLINK \l _Toc1199945006 </w:instrText>
          </w:r>
          <w:r>
            <w:fldChar w:fldCharType="separate"/>
          </w:r>
          <w:r>
            <w:t>6.3 Outcome-Based Task and Time Reporting</w:t>
          </w:r>
          <w:r>
            <w:tab/>
          </w:r>
          <w:r>
            <w:fldChar w:fldCharType="begin"/>
          </w:r>
          <w:r>
            <w:instrText xml:space="preserve"> PAGEREF _Toc1199945006 \h </w:instrText>
          </w:r>
          <w:r>
            <w:fldChar w:fldCharType="separate"/>
          </w:r>
          <w:r>
            <w:t>13</w:t>
          </w:r>
          <w:r>
            <w:fldChar w:fldCharType="end"/>
          </w:r>
          <w:r>
            <w:fldChar w:fldCharType="end"/>
          </w:r>
        </w:p>
        <w:p w14:paraId="647D4EC2">
          <w:pPr>
            <w:pStyle w:val="20"/>
            <w:tabs>
              <w:tab w:val="right" w:leader="dot" w:pos="9360"/>
            </w:tabs>
          </w:pPr>
          <w:r>
            <w:fldChar w:fldCharType="begin"/>
          </w:r>
          <w:r>
            <w:instrText xml:space="preserve"> HYPERLINK \l _Toc456786865 </w:instrText>
          </w:r>
          <w:r>
            <w:fldChar w:fldCharType="separate"/>
          </w:r>
          <w:r>
            <w:t>6.4 Dual-Component Salary Structure</w:t>
          </w:r>
          <w:r>
            <w:tab/>
          </w:r>
          <w:r>
            <w:fldChar w:fldCharType="begin"/>
          </w:r>
          <w:r>
            <w:instrText xml:space="preserve"> PAGEREF _Toc456786865 \h </w:instrText>
          </w:r>
          <w:r>
            <w:fldChar w:fldCharType="separate"/>
          </w:r>
          <w:r>
            <w:t>13</w:t>
          </w:r>
          <w:r>
            <w:fldChar w:fldCharType="end"/>
          </w:r>
          <w:r>
            <w:fldChar w:fldCharType="end"/>
          </w:r>
        </w:p>
        <w:p w14:paraId="1A206C36">
          <w:pPr>
            <w:pStyle w:val="20"/>
            <w:tabs>
              <w:tab w:val="right" w:leader="dot" w:pos="9360"/>
            </w:tabs>
          </w:pPr>
          <w:r>
            <w:fldChar w:fldCharType="begin"/>
          </w:r>
          <w:r>
            <w:instrText xml:space="preserve"> HYPERLINK \l _Toc2110285677 </w:instrText>
          </w:r>
          <w:r>
            <w:fldChar w:fldCharType="separate"/>
          </w:r>
          <w:r>
            <w:t>6.5 Efficiency Evaluation</w:t>
          </w:r>
          <w:r>
            <w:tab/>
          </w:r>
          <w:r>
            <w:fldChar w:fldCharType="begin"/>
          </w:r>
          <w:r>
            <w:instrText xml:space="preserve"> PAGEREF _Toc2110285677 \h </w:instrText>
          </w:r>
          <w:r>
            <w:fldChar w:fldCharType="separate"/>
          </w:r>
          <w:r>
            <w:t>14</w:t>
          </w:r>
          <w:r>
            <w:fldChar w:fldCharType="end"/>
          </w:r>
          <w:r>
            <w:fldChar w:fldCharType="end"/>
          </w:r>
        </w:p>
        <w:p w14:paraId="1B377A79">
          <w:pPr>
            <w:pStyle w:val="20"/>
            <w:tabs>
              <w:tab w:val="right" w:leader="dot" w:pos="9360"/>
            </w:tabs>
          </w:pPr>
          <w:r>
            <w:fldChar w:fldCharType="begin"/>
          </w:r>
          <w:r>
            <w:instrText xml:space="preserve"> HYPERLINK \l _Toc1878943134 </w:instrText>
          </w:r>
          <w:r>
            <w:fldChar w:fldCharType="separate"/>
          </w:r>
          <w:r>
            <w:t>6.6 Employee Data Ownership Registry</w:t>
          </w:r>
          <w:r>
            <w:tab/>
          </w:r>
          <w:r>
            <w:fldChar w:fldCharType="begin"/>
          </w:r>
          <w:r>
            <w:instrText xml:space="preserve"> PAGEREF _Toc1878943134 \h </w:instrText>
          </w:r>
          <w:r>
            <w:fldChar w:fldCharType="separate"/>
          </w:r>
          <w:r>
            <w:t>14</w:t>
          </w:r>
          <w:r>
            <w:fldChar w:fldCharType="end"/>
          </w:r>
          <w:r>
            <w:fldChar w:fldCharType="end"/>
          </w:r>
        </w:p>
        <w:p w14:paraId="6E00770D">
          <w:pPr>
            <w:pStyle w:val="20"/>
            <w:tabs>
              <w:tab w:val="right" w:leader="dot" w:pos="9360"/>
            </w:tabs>
          </w:pPr>
          <w:r>
            <w:fldChar w:fldCharType="begin"/>
          </w:r>
          <w:r>
            <w:instrText xml:space="preserve"> HYPERLINK \l _Toc650224003 </w:instrText>
          </w:r>
          <w:r>
            <w:fldChar w:fldCharType="separate"/>
          </w:r>
          <w:r>
            <w:t>6.7 Documentation Compliance Management</w:t>
          </w:r>
          <w:r>
            <w:tab/>
          </w:r>
          <w:r>
            <w:fldChar w:fldCharType="begin"/>
          </w:r>
          <w:r>
            <w:instrText xml:space="preserve"> PAGEREF _Toc650224003 \h </w:instrText>
          </w:r>
          <w:r>
            <w:fldChar w:fldCharType="separate"/>
          </w:r>
          <w:r>
            <w:t>15</w:t>
          </w:r>
          <w:r>
            <w:fldChar w:fldCharType="end"/>
          </w:r>
          <w:r>
            <w:fldChar w:fldCharType="end"/>
          </w:r>
        </w:p>
        <w:p w14:paraId="3A5D4C7E">
          <w:pPr>
            <w:pStyle w:val="20"/>
            <w:tabs>
              <w:tab w:val="right" w:leader="dot" w:pos="9360"/>
            </w:tabs>
          </w:pPr>
          <w:r>
            <w:fldChar w:fldCharType="begin"/>
          </w:r>
          <w:r>
            <w:instrText xml:space="preserve"> HYPERLINK \l _Toc1918022485 </w:instrText>
          </w:r>
          <w:r>
            <w:fldChar w:fldCharType="separate"/>
          </w:r>
          <w:r>
            <w:t>6.8 Long-Term Reward and Royalty Management</w:t>
          </w:r>
          <w:r>
            <w:tab/>
          </w:r>
          <w:r>
            <w:fldChar w:fldCharType="begin"/>
          </w:r>
          <w:r>
            <w:instrText xml:space="preserve"> PAGEREF _Toc1918022485 \h </w:instrText>
          </w:r>
          <w:r>
            <w:fldChar w:fldCharType="separate"/>
          </w:r>
          <w:r>
            <w:t>15</w:t>
          </w:r>
          <w:r>
            <w:fldChar w:fldCharType="end"/>
          </w:r>
          <w:r>
            <w:fldChar w:fldCharType="end"/>
          </w:r>
        </w:p>
        <w:p w14:paraId="6E653FBD">
          <w:pPr>
            <w:pStyle w:val="20"/>
            <w:tabs>
              <w:tab w:val="right" w:leader="dot" w:pos="9360"/>
            </w:tabs>
          </w:pPr>
          <w:r>
            <w:fldChar w:fldCharType="begin"/>
          </w:r>
          <w:r>
            <w:instrText xml:space="preserve"> HYPERLINK \l _Toc326880278 </w:instrText>
          </w:r>
          <w:r>
            <w:fldChar w:fldCharType="separate"/>
          </w:r>
          <w:r>
            <w:t>6.9 Beneficiary Management</w:t>
          </w:r>
          <w:r>
            <w:tab/>
          </w:r>
          <w:r>
            <w:fldChar w:fldCharType="begin"/>
          </w:r>
          <w:r>
            <w:instrText xml:space="preserve"> PAGEREF _Toc326880278 \h </w:instrText>
          </w:r>
          <w:r>
            <w:fldChar w:fldCharType="separate"/>
          </w:r>
          <w:r>
            <w:t>15</w:t>
          </w:r>
          <w:r>
            <w:fldChar w:fldCharType="end"/>
          </w:r>
          <w:r>
            <w:fldChar w:fldCharType="end"/>
          </w:r>
        </w:p>
        <w:p w14:paraId="16346B51">
          <w:pPr>
            <w:pStyle w:val="19"/>
            <w:tabs>
              <w:tab w:val="right" w:leader="dot" w:pos="9360"/>
            </w:tabs>
            <w:rPr>
              <w:b/>
            </w:rPr>
          </w:pPr>
          <w:r>
            <w:rPr>
              <w:b/>
            </w:rPr>
            <w:fldChar w:fldCharType="begin"/>
          </w:r>
          <w:r>
            <w:rPr>
              <w:b/>
            </w:rPr>
            <w:instrText xml:space="preserve"> HYPERLINK \l _Toc613663320 </w:instrText>
          </w:r>
          <w:r>
            <w:rPr>
              <w:b/>
            </w:rPr>
            <w:fldChar w:fldCharType="separate"/>
          </w:r>
          <w:r>
            <w:rPr>
              <w:b/>
            </w:rPr>
            <w:t>7. Non-Functional Requirements</w:t>
          </w:r>
          <w:r>
            <w:rPr>
              <w:b/>
            </w:rPr>
            <w:tab/>
          </w:r>
          <w:r>
            <w:rPr>
              <w:b/>
            </w:rPr>
            <w:fldChar w:fldCharType="begin"/>
          </w:r>
          <w:r>
            <w:rPr>
              <w:b/>
            </w:rPr>
            <w:instrText xml:space="preserve"> PAGEREF _Toc613663320 \h </w:instrText>
          </w:r>
          <w:r>
            <w:rPr>
              <w:b/>
            </w:rPr>
            <w:fldChar w:fldCharType="separate"/>
          </w:r>
          <w:r>
            <w:rPr>
              <w:b/>
            </w:rPr>
            <w:t>17</w:t>
          </w:r>
          <w:r>
            <w:rPr>
              <w:b/>
            </w:rPr>
            <w:fldChar w:fldCharType="end"/>
          </w:r>
          <w:r>
            <w:rPr>
              <w:b/>
            </w:rPr>
            <w:fldChar w:fldCharType="end"/>
          </w:r>
        </w:p>
        <w:p w14:paraId="7633E733">
          <w:pPr>
            <w:pStyle w:val="20"/>
            <w:tabs>
              <w:tab w:val="right" w:leader="dot" w:pos="9360"/>
            </w:tabs>
          </w:pPr>
          <w:r>
            <w:fldChar w:fldCharType="begin"/>
          </w:r>
          <w:r>
            <w:instrText xml:space="preserve"> HYPERLINK \l _Toc1622946346 </w:instrText>
          </w:r>
          <w:r>
            <w:fldChar w:fldCharType="separate"/>
          </w:r>
          <w:r>
            <w:t>7.1 Configuration Engine Performance</w:t>
          </w:r>
          <w:r>
            <w:tab/>
          </w:r>
          <w:r>
            <w:fldChar w:fldCharType="begin"/>
          </w:r>
          <w:r>
            <w:instrText xml:space="preserve"> PAGEREF _Toc1622946346 \h </w:instrText>
          </w:r>
          <w:r>
            <w:fldChar w:fldCharType="separate"/>
          </w:r>
          <w:r>
            <w:t>17</w:t>
          </w:r>
          <w:r>
            <w:fldChar w:fldCharType="end"/>
          </w:r>
          <w:r>
            <w:fldChar w:fldCharType="end"/>
          </w:r>
        </w:p>
        <w:p w14:paraId="135D806C">
          <w:pPr>
            <w:pStyle w:val="20"/>
            <w:tabs>
              <w:tab w:val="right" w:leader="dot" w:pos="9360"/>
            </w:tabs>
          </w:pPr>
          <w:r>
            <w:fldChar w:fldCharType="begin"/>
          </w:r>
          <w:r>
            <w:instrText xml:space="preserve"> HYPERLINK \l _Toc1669436675 </w:instrText>
          </w:r>
          <w:r>
            <w:fldChar w:fldCharType="separate"/>
          </w:r>
          <w:r>
            <w:t>7.2 Security</w:t>
          </w:r>
          <w:r>
            <w:tab/>
          </w:r>
          <w:r>
            <w:fldChar w:fldCharType="begin"/>
          </w:r>
          <w:r>
            <w:instrText xml:space="preserve"> PAGEREF _Toc1669436675 \h </w:instrText>
          </w:r>
          <w:r>
            <w:fldChar w:fldCharType="separate"/>
          </w:r>
          <w:r>
            <w:t>17</w:t>
          </w:r>
          <w:r>
            <w:fldChar w:fldCharType="end"/>
          </w:r>
          <w:r>
            <w:fldChar w:fldCharType="end"/>
          </w:r>
        </w:p>
        <w:p w14:paraId="15E828B7">
          <w:pPr>
            <w:pStyle w:val="20"/>
            <w:tabs>
              <w:tab w:val="right" w:leader="dot" w:pos="9360"/>
            </w:tabs>
          </w:pPr>
          <w:r>
            <w:fldChar w:fldCharType="begin"/>
          </w:r>
          <w:r>
            <w:instrText xml:space="preserve"> HYPERLINK \l _Toc1348348670 </w:instrText>
          </w:r>
          <w:r>
            <w:fldChar w:fldCharType="separate"/>
          </w:r>
          <w:r>
            <w:t>7.3 Scalability</w:t>
          </w:r>
          <w:r>
            <w:tab/>
          </w:r>
          <w:r>
            <w:fldChar w:fldCharType="begin"/>
          </w:r>
          <w:r>
            <w:instrText xml:space="preserve"> PAGEREF _Toc1348348670 \h </w:instrText>
          </w:r>
          <w:r>
            <w:fldChar w:fldCharType="separate"/>
          </w:r>
          <w:r>
            <w:t>17</w:t>
          </w:r>
          <w:r>
            <w:fldChar w:fldCharType="end"/>
          </w:r>
          <w:r>
            <w:fldChar w:fldCharType="end"/>
          </w:r>
        </w:p>
        <w:p w14:paraId="3C0DDBF2">
          <w:pPr>
            <w:pStyle w:val="20"/>
            <w:tabs>
              <w:tab w:val="right" w:leader="dot" w:pos="9360"/>
            </w:tabs>
          </w:pPr>
          <w:r>
            <w:fldChar w:fldCharType="begin"/>
          </w:r>
          <w:r>
            <w:instrText xml:space="preserve"> HYPERLINK \l _Toc1448653546 </w:instrText>
          </w:r>
          <w:r>
            <w:fldChar w:fldCharType="separate"/>
          </w:r>
          <w:r>
            <w:t>7.4 Data Integrity</w:t>
          </w:r>
          <w:r>
            <w:tab/>
          </w:r>
          <w:r>
            <w:fldChar w:fldCharType="begin"/>
          </w:r>
          <w:r>
            <w:instrText xml:space="preserve"> PAGEREF _Toc1448653546 \h </w:instrText>
          </w:r>
          <w:r>
            <w:fldChar w:fldCharType="separate"/>
          </w:r>
          <w:r>
            <w:t>17</w:t>
          </w:r>
          <w:r>
            <w:fldChar w:fldCharType="end"/>
          </w:r>
          <w:r>
            <w:fldChar w:fldCharType="end"/>
          </w:r>
        </w:p>
        <w:p w14:paraId="5C4F5E12">
          <w:pPr>
            <w:pStyle w:val="20"/>
            <w:tabs>
              <w:tab w:val="right" w:leader="dot" w:pos="9360"/>
            </w:tabs>
          </w:pPr>
          <w:r>
            <w:fldChar w:fldCharType="begin"/>
          </w:r>
          <w:r>
            <w:instrText xml:space="preserve"> HYPERLINK \l _Toc1498041583 </w:instrText>
          </w:r>
          <w:r>
            <w:fldChar w:fldCharType="separate"/>
          </w:r>
          <w:r>
            <w:t>7.5 Auditability</w:t>
          </w:r>
          <w:r>
            <w:tab/>
          </w:r>
          <w:r>
            <w:fldChar w:fldCharType="begin"/>
          </w:r>
          <w:r>
            <w:instrText xml:space="preserve"> PAGEREF _Toc1498041583 \h </w:instrText>
          </w:r>
          <w:r>
            <w:fldChar w:fldCharType="separate"/>
          </w:r>
          <w:r>
            <w:t>17</w:t>
          </w:r>
          <w:r>
            <w:fldChar w:fldCharType="end"/>
          </w:r>
          <w:r>
            <w:fldChar w:fldCharType="end"/>
          </w:r>
        </w:p>
        <w:p w14:paraId="6AE31431">
          <w:pPr>
            <w:pStyle w:val="19"/>
            <w:tabs>
              <w:tab w:val="right" w:leader="dot" w:pos="9360"/>
            </w:tabs>
            <w:rPr>
              <w:b/>
            </w:rPr>
          </w:pPr>
          <w:r>
            <w:rPr>
              <w:b/>
            </w:rPr>
            <w:fldChar w:fldCharType="begin"/>
          </w:r>
          <w:r>
            <w:rPr>
              <w:b/>
            </w:rPr>
            <w:instrText xml:space="preserve"> HYPERLINK \l _Toc486608053 </w:instrText>
          </w:r>
          <w:r>
            <w:rPr>
              <w:b/>
            </w:rPr>
            <w:fldChar w:fldCharType="separate"/>
          </w:r>
          <w:r>
            <w:rPr>
              <w:b/>
            </w:rPr>
            <w:t>8. User Roles and Access</w:t>
          </w:r>
          <w:r>
            <w:rPr>
              <w:b/>
            </w:rPr>
            <w:tab/>
          </w:r>
          <w:r>
            <w:rPr>
              <w:b/>
            </w:rPr>
            <w:fldChar w:fldCharType="begin"/>
          </w:r>
          <w:r>
            <w:rPr>
              <w:b/>
            </w:rPr>
            <w:instrText xml:space="preserve"> PAGEREF _Toc486608053 \h </w:instrText>
          </w:r>
          <w:r>
            <w:rPr>
              <w:b/>
            </w:rPr>
            <w:fldChar w:fldCharType="separate"/>
          </w:r>
          <w:r>
            <w:rPr>
              <w:b/>
            </w:rPr>
            <w:t>18</w:t>
          </w:r>
          <w:r>
            <w:rPr>
              <w:b/>
            </w:rPr>
            <w:fldChar w:fldCharType="end"/>
          </w:r>
          <w:r>
            <w:rPr>
              <w:b/>
            </w:rPr>
            <w:fldChar w:fldCharType="end"/>
          </w:r>
        </w:p>
        <w:p w14:paraId="26D770B2">
          <w:pPr>
            <w:pStyle w:val="19"/>
            <w:tabs>
              <w:tab w:val="right" w:leader="dot" w:pos="9360"/>
            </w:tabs>
            <w:rPr>
              <w:b/>
            </w:rPr>
          </w:pPr>
          <w:r>
            <w:rPr>
              <w:b/>
            </w:rPr>
            <w:fldChar w:fldCharType="begin"/>
          </w:r>
          <w:r>
            <w:rPr>
              <w:b/>
            </w:rPr>
            <w:instrText xml:space="preserve"> HYPERLINK \l _Toc803818995 </w:instrText>
          </w:r>
          <w:r>
            <w:rPr>
              <w:b/>
            </w:rPr>
            <w:fldChar w:fldCharType="separate"/>
          </w:r>
          <w:r>
            <w:rPr>
              <w:b/>
            </w:rPr>
            <w:t>9. Expected Business Benefits</w:t>
          </w:r>
          <w:r>
            <w:rPr>
              <w:b/>
            </w:rPr>
            <w:tab/>
          </w:r>
          <w:r>
            <w:rPr>
              <w:b/>
            </w:rPr>
            <w:fldChar w:fldCharType="begin"/>
          </w:r>
          <w:r>
            <w:rPr>
              <w:b/>
            </w:rPr>
            <w:instrText xml:space="preserve"> PAGEREF _Toc803818995 \h </w:instrText>
          </w:r>
          <w:r>
            <w:rPr>
              <w:b/>
            </w:rPr>
            <w:fldChar w:fldCharType="separate"/>
          </w:r>
          <w:r>
            <w:rPr>
              <w:b/>
            </w:rPr>
            <w:t>19</w:t>
          </w:r>
          <w:r>
            <w:rPr>
              <w:b/>
            </w:rPr>
            <w:fldChar w:fldCharType="end"/>
          </w:r>
          <w:r>
            <w:rPr>
              <w:b/>
            </w:rPr>
            <w:fldChar w:fldCharType="end"/>
          </w:r>
        </w:p>
        <w:p w14:paraId="15A7B7AB">
          <w:pPr>
            <w:pStyle w:val="19"/>
            <w:tabs>
              <w:tab w:val="right" w:leader="dot" w:pos="9360"/>
            </w:tabs>
            <w:rPr>
              <w:b/>
            </w:rPr>
          </w:pPr>
          <w:r>
            <w:rPr>
              <w:b/>
            </w:rPr>
            <w:fldChar w:fldCharType="begin"/>
          </w:r>
          <w:r>
            <w:rPr>
              <w:b/>
            </w:rPr>
            <w:instrText xml:space="preserve"> HYPERLINK \l _Toc2113709335 </w:instrText>
          </w:r>
          <w:r>
            <w:rPr>
              <w:b/>
            </w:rPr>
            <w:fldChar w:fldCharType="separate"/>
          </w:r>
          <w:r>
            <w:rPr>
              <w:b/>
            </w:rPr>
            <w:t>10. Document Control</w:t>
          </w:r>
          <w:r>
            <w:rPr>
              <w:b/>
            </w:rPr>
            <w:tab/>
          </w:r>
          <w:r>
            <w:rPr>
              <w:b/>
            </w:rPr>
            <w:fldChar w:fldCharType="begin"/>
          </w:r>
          <w:r>
            <w:rPr>
              <w:b/>
            </w:rPr>
            <w:instrText xml:space="preserve"> PAGEREF _Toc2113709335 \h </w:instrText>
          </w:r>
          <w:r>
            <w:rPr>
              <w:b/>
            </w:rPr>
            <w:fldChar w:fldCharType="separate"/>
          </w:r>
          <w:r>
            <w:rPr>
              <w:b/>
            </w:rPr>
            <w:t>20</w:t>
          </w:r>
          <w:r>
            <w:rPr>
              <w:b/>
            </w:rPr>
            <w:fldChar w:fldCharType="end"/>
          </w:r>
          <w:r>
            <w:rPr>
              <w:b/>
            </w:rPr>
            <w:fldChar w:fldCharType="end"/>
          </w:r>
        </w:p>
        <w:p w14:paraId="660D6EEA">
          <w:pPr>
            <w:pStyle w:val="2"/>
            <w:pBdr>
              <w:bottom w:val="single" w:color="2E75B6" w:sz="8" w:space="0"/>
            </w:pBdr>
            <w:spacing w:before="480" w:after="200"/>
            <w:outlineLvl w:val="9"/>
            <w:rPr>
              <w:rFonts w:ascii="Calibri" w:hAnsi="Calibri" w:eastAsia="Calibri" w:cs="Calibri"/>
              <w:b/>
              <w:bCs/>
              <w:color w:val="1F4E79"/>
              <w:sz w:val="28"/>
              <w:szCs w:val="28"/>
            </w:rPr>
            <w:sectPr>
              <w:headerReference r:id="rId3" w:type="default"/>
              <w:footerReference r:id="rId4" w:type="default"/>
              <w:pgSz w:w="12240" w:h="15840"/>
              <w:pgMar w:top="1440" w:right="1440" w:bottom="1440" w:left="1440" w:header="708" w:footer="708" w:gutter="0"/>
              <w:cols w:space="720" w:num="1"/>
              <w:docGrid w:linePitch="360" w:charSpace="0"/>
            </w:sectPr>
          </w:pPr>
          <w:r>
            <w:rPr>
              <w:b/>
            </w:rPr>
            <w:fldChar w:fldCharType="end"/>
          </w:r>
        </w:p>
      </w:sdtContent>
    </w:sdt>
    <w:p w14:paraId="6AFD5C0C"/>
    <w:p w14:paraId="385A8624">
      <w:pPr>
        <w:pStyle w:val="2"/>
        <w:pBdr>
          <w:bottom w:val="single" w:color="2E75B6" w:sz="8" w:space="0"/>
        </w:pBdr>
        <w:spacing w:before="480" w:after="200"/>
      </w:pPr>
      <w:bookmarkStart w:id="0" w:name="_Toc1825256279"/>
      <w:r>
        <w:t>1. Executive Summary</w:t>
      </w:r>
      <w:bookmarkEnd w:id="0"/>
    </w:p>
    <w:p w14:paraId="2C9469B5">
      <w:pPr>
        <w:spacing w:after="160"/>
        <w:jc w:val="both"/>
      </w:pPr>
      <w:r>
        <w:rPr>
          <w:color w:val="000000"/>
          <w:sz w:val="20"/>
          <w:szCs w:val="20"/>
        </w:rPr>
        <w:t>This document describes the complete Solution Design for a custom-built Human Resource Management System (HRMS), developed as a standalone custom ERP application built from scratch.</w:t>
      </w:r>
    </w:p>
    <w:p w14:paraId="262881F8">
      <w:pPr>
        <w:spacing w:after="160"/>
        <w:jc w:val="both"/>
      </w:pPr>
      <w:r>
        <w:rPr>
          <w:color w:val="000000"/>
          <w:sz w:val="20"/>
          <w:szCs w:val="20"/>
        </w:rPr>
        <w:t>The core philosophy of this HRMS is to move from a time-based evaluation model to a value-based model — measuring employees by their professional capability, work quality, efficiency, asset ownership, and long-term contribution to the organization.</w:t>
      </w:r>
    </w:p>
    <w:p w14:paraId="5FD7A9E7">
      <w:pPr>
        <w:spacing w:after="160"/>
        <w:jc w:val="both"/>
      </w:pPr>
      <w:r>
        <w:rPr>
          <w:color w:val="000000"/>
          <w:sz w:val="20"/>
          <w:szCs w:val="20"/>
        </w:rPr>
        <w:t>Version 2.0 of this document introduces the foundational architectural principle that governs the entire system:</w:t>
      </w:r>
    </w:p>
    <w:p w14:paraId="5EA67A79">
      <w:pPr>
        <w:spacing w:before="100"/>
      </w:pPr>
    </w:p>
    <w:p w14:paraId="62918725">
      <w:pPr>
        <w:pBdr>
          <w:left w:val="single" w:color="2E75B6" w:sz="16" w:space="0"/>
        </w:pBdr>
        <w:shd w:val="clear" w:fill="D6E4F0"/>
        <w:spacing w:before="160" w:after="160"/>
        <w:ind w:left="360" w:right="360"/>
      </w:pPr>
      <w:r>
        <w:rPr>
          <w:b/>
          <w:bCs/>
          <w:color w:val="1F4E79"/>
          <w:sz w:val="20"/>
          <w:szCs w:val="20"/>
        </w:rPr>
        <w:t>CORE PRINCIPLE: Every business rule, scoring weight, formula, threshold, and policy in this system is metadata-driven. No business logic is hardcoded. All rules are stored in the database and managed through the Admin UI. Policy changes require zero code deployment.</w:t>
      </w:r>
    </w:p>
    <w:p w14:paraId="5D677BBE">
      <w:pPr>
        <w:spacing w:before="100"/>
      </w:pPr>
    </w:p>
    <w:p w14:paraId="3001DF63">
      <w:pPr>
        <w:spacing w:after="160"/>
        <w:jc w:val="both"/>
      </w:pPr>
      <w:r>
        <w:rPr>
          <w:color w:val="000000"/>
          <w:sz w:val="20"/>
          <w:szCs w:val="20"/>
        </w:rPr>
        <w:t>This document covers the project scope, metadata-driven architecture design, full configuration entity catalog, functional module specifications, and non-functional requirements.</w:t>
      </w:r>
    </w:p>
    <w:p w14:paraId="39074952">
      <w:r>
        <w:br w:type="page"/>
      </w:r>
    </w:p>
    <w:p w14:paraId="219D8231">
      <w:pPr>
        <w:pStyle w:val="2"/>
        <w:pBdr>
          <w:bottom w:val="single" w:color="2E75B6" w:sz="8" w:space="0"/>
        </w:pBdr>
        <w:spacing w:before="480" w:after="200"/>
      </w:pPr>
      <w:bookmarkStart w:id="1" w:name="_Toc278383758"/>
      <w:r>
        <w:t>2. Project Scope</w:t>
      </w:r>
      <w:bookmarkEnd w:id="1"/>
    </w:p>
    <w:p w14:paraId="1F01326A">
      <w:pPr>
        <w:pStyle w:val="3"/>
        <w:spacing w:before="320" w:after="160"/>
      </w:pPr>
      <w:bookmarkStart w:id="2" w:name="_Toc1576437540"/>
      <w:r>
        <w:t>2.1 In Scope</w:t>
      </w:r>
      <w:bookmarkEnd w:id="2"/>
    </w:p>
    <w:p w14:paraId="55F1715A">
      <w:pPr>
        <w:pStyle w:val="16"/>
        <w:numPr>
          <w:ilvl w:val="0"/>
          <w:numId w:val="1"/>
        </w:numPr>
        <w:spacing w:after="80"/>
      </w:pPr>
      <w:r>
        <w:rPr>
          <w:color w:val="000000"/>
          <w:sz w:val="20"/>
          <w:szCs w:val="20"/>
        </w:rPr>
        <w:t>Metadata-Driven Configuration Engine — the foundation layer all modules depend on</w:t>
      </w:r>
    </w:p>
    <w:p w14:paraId="1AF4A348">
      <w:pPr>
        <w:pStyle w:val="16"/>
        <w:numPr>
          <w:ilvl w:val="0"/>
          <w:numId w:val="1"/>
        </w:numPr>
        <w:spacing w:after="80"/>
      </w:pPr>
      <w:r>
        <w:rPr>
          <w:color w:val="000000"/>
          <w:sz w:val="20"/>
          <w:szCs w:val="20"/>
        </w:rPr>
        <w:t>Base Professional Value (BPV) Engine — configurable scoring engine for employee professional worth</w:t>
      </w:r>
    </w:p>
    <w:p w14:paraId="4A81B22B">
      <w:pPr>
        <w:pStyle w:val="16"/>
        <w:numPr>
          <w:ilvl w:val="0"/>
          <w:numId w:val="1"/>
        </w:numPr>
        <w:spacing w:after="80"/>
      </w:pPr>
      <w:r>
        <w:rPr>
          <w:color w:val="000000"/>
          <w:sz w:val="20"/>
          <w:szCs w:val="20"/>
        </w:rPr>
        <w:t>Outcome-Based Time Reporting — delivery-based reporting with configurable time blocks</w:t>
      </w:r>
    </w:p>
    <w:p w14:paraId="4F2123CE">
      <w:pPr>
        <w:pStyle w:val="16"/>
        <w:numPr>
          <w:ilvl w:val="0"/>
          <w:numId w:val="1"/>
        </w:numPr>
        <w:spacing w:after="80"/>
      </w:pPr>
      <w:r>
        <w:rPr>
          <w:color w:val="000000"/>
          <w:sz w:val="20"/>
          <w:szCs w:val="20"/>
        </w:rPr>
        <w:t>Dual-Component Salary Structure — BPV salary + time-reporting variable, configurable split</w:t>
      </w:r>
    </w:p>
    <w:p w14:paraId="5B4F85C1">
      <w:pPr>
        <w:pStyle w:val="16"/>
        <w:numPr>
          <w:ilvl w:val="0"/>
          <w:numId w:val="1"/>
        </w:numPr>
        <w:spacing w:after="80"/>
      </w:pPr>
      <w:r>
        <w:rPr>
          <w:color w:val="000000"/>
          <w:sz w:val="20"/>
          <w:szCs w:val="20"/>
        </w:rPr>
        <w:t>Efficiency Evaluation and Scoring — configurable scoring and incentive tier mapping</w:t>
      </w:r>
    </w:p>
    <w:p w14:paraId="2403C57C">
      <w:pPr>
        <w:pStyle w:val="16"/>
        <w:numPr>
          <w:ilvl w:val="0"/>
          <w:numId w:val="1"/>
        </w:numPr>
        <w:spacing w:after="80"/>
      </w:pPr>
      <w:r>
        <w:rPr>
          <w:color w:val="000000"/>
          <w:sz w:val="20"/>
          <w:szCs w:val="20"/>
        </w:rPr>
        <w:t>Employee Data Ownership Registry — full ownership metadata for all digital assets</w:t>
      </w:r>
    </w:p>
    <w:p w14:paraId="3AC26F0D">
      <w:pPr>
        <w:pStyle w:val="16"/>
        <w:numPr>
          <w:ilvl w:val="0"/>
          <w:numId w:val="1"/>
        </w:numPr>
        <w:spacing w:after="80"/>
      </w:pPr>
      <w:r>
        <w:rPr>
          <w:color w:val="000000"/>
          <w:sz w:val="20"/>
          <w:szCs w:val="20"/>
        </w:rPr>
        <w:t>Documentation Compliance Management — configurable compliance rules per asset type</w:t>
      </w:r>
    </w:p>
    <w:p w14:paraId="4D5A9B02">
      <w:pPr>
        <w:pStyle w:val="16"/>
        <w:numPr>
          <w:ilvl w:val="0"/>
          <w:numId w:val="1"/>
        </w:numPr>
        <w:spacing w:after="80"/>
      </w:pPr>
      <w:r>
        <w:rPr>
          <w:color w:val="000000"/>
          <w:sz w:val="20"/>
          <w:szCs w:val="20"/>
        </w:rPr>
        <w:t>Long-Term Reward and Royalty Management — configurable incentive engine</w:t>
      </w:r>
    </w:p>
    <w:p w14:paraId="4B64D378">
      <w:pPr>
        <w:pStyle w:val="16"/>
        <w:numPr>
          <w:ilvl w:val="0"/>
          <w:numId w:val="1"/>
        </w:numPr>
        <w:spacing w:after="80"/>
      </w:pPr>
      <w:r>
        <w:rPr>
          <w:color w:val="000000"/>
          <w:sz w:val="20"/>
          <w:szCs w:val="20"/>
        </w:rPr>
        <w:t>Beneficiary Management — employee-designated beneficiaries for long-term rewards</w:t>
      </w:r>
    </w:p>
    <w:p w14:paraId="2DF254B9">
      <w:pPr>
        <w:pStyle w:val="16"/>
        <w:numPr>
          <w:ilvl w:val="0"/>
          <w:numId w:val="1"/>
        </w:numPr>
        <w:spacing w:after="80"/>
      </w:pPr>
      <w:r>
        <w:rPr>
          <w:color w:val="000000"/>
          <w:sz w:val="20"/>
          <w:szCs w:val="20"/>
        </w:rPr>
        <w:t>HR and Finance Administration Dashboard — all configuration, reporting, and oversight</w:t>
      </w:r>
    </w:p>
    <w:p w14:paraId="22A46B80">
      <w:pPr>
        <w:pStyle w:val="16"/>
        <w:numPr>
          <w:ilvl w:val="0"/>
          <w:numId w:val="1"/>
        </w:numPr>
        <w:spacing w:after="80"/>
      </w:pPr>
      <w:r>
        <w:rPr>
          <w:color w:val="000000"/>
          <w:sz w:val="20"/>
          <w:szCs w:val="20"/>
        </w:rPr>
        <w:t>Reports and Analytics — productivity, efficiency, contribution, and reward analytics</w:t>
      </w:r>
    </w:p>
    <w:p w14:paraId="129E4E25">
      <w:pPr>
        <w:spacing w:before="200"/>
      </w:pPr>
    </w:p>
    <w:p w14:paraId="03B21A32">
      <w:pPr>
        <w:pStyle w:val="3"/>
        <w:spacing w:before="320" w:after="160"/>
      </w:pPr>
      <w:bookmarkStart w:id="3" w:name="_Toc1679981741"/>
      <w:r>
        <w:t>2.2 Out of Scope</w:t>
      </w:r>
      <w:bookmarkEnd w:id="3"/>
    </w:p>
    <w:p w14:paraId="6FAEFE7A">
      <w:pPr>
        <w:pStyle w:val="16"/>
        <w:numPr>
          <w:ilvl w:val="0"/>
          <w:numId w:val="1"/>
        </w:numPr>
        <w:spacing w:after="80"/>
      </w:pPr>
      <w:r>
        <w:rPr>
          <w:color w:val="000000"/>
          <w:sz w:val="20"/>
          <w:szCs w:val="20"/>
        </w:rPr>
        <w:t>Payroll disbursement and banking integrations (Phase 2)</w:t>
      </w:r>
    </w:p>
    <w:p w14:paraId="7638327A">
      <w:pPr>
        <w:pStyle w:val="16"/>
        <w:numPr>
          <w:ilvl w:val="0"/>
          <w:numId w:val="1"/>
        </w:numPr>
        <w:spacing w:after="80"/>
      </w:pPr>
      <w:r>
        <w:rPr>
          <w:color w:val="000000"/>
          <w:sz w:val="20"/>
          <w:szCs w:val="20"/>
        </w:rPr>
        <w:t>Recruitment and applicant tracking</w:t>
      </w:r>
    </w:p>
    <w:p w14:paraId="26DB3202">
      <w:pPr>
        <w:pStyle w:val="16"/>
        <w:numPr>
          <w:ilvl w:val="0"/>
          <w:numId w:val="1"/>
        </w:numPr>
        <w:spacing w:after="80"/>
      </w:pPr>
      <w:r>
        <w:rPr>
          <w:color w:val="000000"/>
          <w:sz w:val="20"/>
          <w:szCs w:val="20"/>
        </w:rPr>
        <w:t>Leave and travel expense management</w:t>
      </w:r>
    </w:p>
    <w:p w14:paraId="65D936E2">
      <w:pPr>
        <w:pStyle w:val="16"/>
        <w:numPr>
          <w:ilvl w:val="0"/>
          <w:numId w:val="1"/>
        </w:numPr>
        <w:spacing w:after="80"/>
      </w:pPr>
      <w:r>
        <w:rPr>
          <w:color w:val="000000"/>
          <w:sz w:val="20"/>
          <w:szCs w:val="20"/>
        </w:rPr>
        <w:t>Native mobile application (responsive web is in scope; mobile app is a future phase)</w:t>
      </w:r>
    </w:p>
    <w:p w14:paraId="0DDDDF7B">
      <w:pPr>
        <w:pStyle w:val="16"/>
        <w:numPr>
          <w:ilvl w:val="0"/>
          <w:numId w:val="1"/>
        </w:numPr>
        <w:spacing w:after="80"/>
      </w:pPr>
      <w:r>
        <w:rPr>
          <w:color w:val="000000"/>
          <w:sz w:val="20"/>
          <w:szCs w:val="20"/>
        </w:rPr>
        <w:t>Third-party HRMS integrations (Salesforce, SAP, Workday, etc.)</w:t>
      </w:r>
    </w:p>
    <w:p w14:paraId="08071367">
      <w:pPr>
        <w:spacing w:before="200"/>
      </w:pPr>
    </w:p>
    <w:p w14:paraId="31E09EE9">
      <w:pPr>
        <w:pStyle w:val="3"/>
        <w:spacing w:before="320" w:after="160"/>
      </w:pPr>
      <w:bookmarkStart w:id="4" w:name="_Toc338130231"/>
      <w:r>
        <w:t>2.3 Assumptions</w:t>
      </w:r>
      <w:bookmarkEnd w:id="4"/>
    </w:p>
    <w:p w14:paraId="63A66CFB">
      <w:pPr>
        <w:pStyle w:val="16"/>
        <w:numPr>
          <w:ilvl w:val="0"/>
          <w:numId w:val="1"/>
        </w:numPr>
        <w:spacing w:after="80"/>
      </w:pPr>
      <w:r>
        <w:rPr>
          <w:color w:val="000000"/>
          <w:sz w:val="20"/>
          <w:szCs w:val="20"/>
        </w:rPr>
        <w:t>All business rules, scoring criteria, thresholds, and policies are configured by HR/Finance admins through the Admin UI — no developer involvement needed for policy changes.</w:t>
      </w:r>
    </w:p>
    <w:p w14:paraId="33270C0E">
      <w:pPr>
        <w:pStyle w:val="16"/>
        <w:numPr>
          <w:ilvl w:val="0"/>
          <w:numId w:val="1"/>
        </w:numPr>
        <w:spacing w:after="80"/>
      </w:pPr>
      <w:r>
        <w:rPr>
          <w:color w:val="000000"/>
          <w:sz w:val="20"/>
          <w:szCs w:val="20"/>
        </w:rPr>
        <w:t>All configuration changes are versioned with effective dates. Historical calculations use the configuration that was active at the time.</w:t>
      </w:r>
    </w:p>
    <w:p w14:paraId="56C3B1D3">
      <w:pPr>
        <w:pStyle w:val="16"/>
        <w:numPr>
          <w:ilvl w:val="0"/>
          <w:numId w:val="1"/>
        </w:numPr>
        <w:spacing w:after="80"/>
      </w:pPr>
      <w:r>
        <w:rPr>
          <w:color w:val="000000"/>
          <w:sz w:val="20"/>
          <w:szCs w:val="20"/>
        </w:rPr>
        <w:t>Authentication is handled via role-based access control (RBAC) with SSO support.</w:t>
      </w:r>
    </w:p>
    <w:p w14:paraId="68F0E78C">
      <w:pPr>
        <w:pStyle w:val="16"/>
        <w:numPr>
          <w:ilvl w:val="0"/>
          <w:numId w:val="1"/>
        </w:numPr>
        <w:spacing w:after="80"/>
      </w:pPr>
      <w:r>
        <w:rPr>
          <w:color w:val="000000"/>
          <w:sz w:val="20"/>
          <w:szCs w:val="20"/>
        </w:rPr>
        <w:t>The system is cloud-hosted; provider to be confirmed.</w:t>
      </w:r>
    </w:p>
    <w:p w14:paraId="6B7B4A34">
      <w:pPr>
        <w:pStyle w:val="16"/>
        <w:numPr>
          <w:ilvl w:val="0"/>
          <w:numId w:val="1"/>
        </w:numPr>
        <w:spacing w:after="80"/>
      </w:pPr>
      <w:r>
        <w:rPr>
          <w:color w:val="000000"/>
          <w:sz w:val="20"/>
          <w:szCs w:val="20"/>
        </w:rPr>
        <w:t>All monetary values and salary calculations are currency-agnostic — currency is a configuration setting.</w:t>
      </w:r>
    </w:p>
    <w:p w14:paraId="2909FABF">
      <w:r>
        <w:br w:type="page"/>
      </w:r>
    </w:p>
    <w:p w14:paraId="31321532">
      <w:pPr>
        <w:pStyle w:val="2"/>
        <w:pBdr>
          <w:bottom w:val="single" w:color="2E75B6" w:sz="8" w:space="0"/>
        </w:pBdr>
        <w:spacing w:before="480" w:after="200"/>
      </w:pPr>
      <w:bookmarkStart w:id="5" w:name="_Toc713062455"/>
      <w:r>
        <w:t>3. Metadata-Driven Architecture</w:t>
      </w:r>
      <w:bookmarkEnd w:id="5"/>
    </w:p>
    <w:p w14:paraId="0F4FEC25">
      <w:pPr>
        <w:pStyle w:val="3"/>
        <w:spacing w:before="320" w:after="160"/>
      </w:pPr>
      <w:bookmarkStart w:id="6" w:name="_Toc1481930925"/>
      <w:r>
        <w:t>3.1 Core Design Principle</w:t>
      </w:r>
      <w:bookmarkEnd w:id="6"/>
    </w:p>
    <w:p w14:paraId="247191C0">
      <w:pPr>
        <w:spacing w:after="160"/>
        <w:jc w:val="both"/>
      </w:pPr>
      <w:r>
        <w:rPr>
          <w:color w:val="000000"/>
          <w:sz w:val="20"/>
          <w:szCs w:val="20"/>
        </w:rPr>
        <w:t>The entire HRMS is built on a metadata-driven architecture. This means that every business rule, scoring formula, policy threshold, allowed value, and calculation parameter is stored as configuration data in the database — not as hardcoded values in application code.</w:t>
      </w:r>
    </w:p>
    <w:p w14:paraId="4DE4D39D">
      <w:pPr>
        <w:spacing w:before="100"/>
      </w:pPr>
    </w:p>
    <w:p w14:paraId="115F1F47">
      <w:pPr>
        <w:pBdr>
          <w:left w:val="single" w:color="375623" w:sz="16" w:space="0"/>
        </w:pBdr>
        <w:shd w:val="clear" w:fill="E2EFDA"/>
        <w:spacing w:before="160" w:after="160"/>
        <w:ind w:left="360" w:right="360"/>
      </w:pPr>
      <w:r>
        <w:rPr>
          <w:b w:val="0"/>
          <w:bCs w:val="0"/>
          <w:color w:val="375623"/>
          <w:sz w:val="20"/>
          <w:szCs w:val="20"/>
        </w:rPr>
        <w:t>Admin configures rules  →  System stores in configuration tables  →  Business logic reads config at runtime  →  Output is calculated dynamically</w:t>
      </w:r>
    </w:p>
    <w:p w14:paraId="7D147F61">
      <w:pPr>
        <w:spacing w:before="100"/>
      </w:pPr>
    </w:p>
    <w:p w14:paraId="74399647">
      <w:pPr>
        <w:spacing w:after="160"/>
        <w:jc w:val="both"/>
      </w:pPr>
      <w:r>
        <w:rPr>
          <w:color w:val="000000"/>
          <w:sz w:val="20"/>
          <w:szCs w:val="20"/>
        </w:rPr>
        <w:t>This architecture delivers the following guarantees:</w:t>
      </w:r>
    </w:p>
    <w:p w14:paraId="3E6C7B53">
      <w:pPr>
        <w:pStyle w:val="16"/>
        <w:numPr>
          <w:ilvl w:val="0"/>
          <w:numId w:val="1"/>
        </w:numPr>
        <w:spacing w:after="80"/>
      </w:pPr>
      <w:r>
        <w:rPr>
          <w:color w:val="000000"/>
          <w:sz w:val="20"/>
          <w:szCs w:val="20"/>
        </w:rPr>
        <w:t>Zero code deployment required for policy changes — HR and Finance update rules through the Admin UI.</w:t>
      </w:r>
    </w:p>
    <w:p w14:paraId="131B1032">
      <w:pPr>
        <w:pStyle w:val="16"/>
        <w:numPr>
          <w:ilvl w:val="0"/>
          <w:numId w:val="1"/>
        </w:numPr>
        <w:spacing w:after="80"/>
      </w:pPr>
      <w:r>
        <w:rPr>
          <w:color w:val="000000"/>
          <w:sz w:val="20"/>
          <w:szCs w:val="20"/>
        </w:rPr>
        <w:t>Full version history of every configuration — changes are tracked with effective dates and the user who made the change.</w:t>
      </w:r>
    </w:p>
    <w:p w14:paraId="65F1E340">
      <w:pPr>
        <w:pStyle w:val="16"/>
        <w:numPr>
          <w:ilvl w:val="0"/>
          <w:numId w:val="1"/>
        </w:numPr>
        <w:spacing w:after="80"/>
      </w:pPr>
      <w:r>
        <w:rPr>
          <w:color w:val="000000"/>
          <w:sz w:val="20"/>
          <w:szCs w:val="20"/>
        </w:rPr>
        <w:t>Historical accuracy — past calculations always use the configuration that was active at the time of calculation, even after rules change.</w:t>
      </w:r>
    </w:p>
    <w:p w14:paraId="3438FAC5">
      <w:pPr>
        <w:pStyle w:val="16"/>
        <w:numPr>
          <w:ilvl w:val="0"/>
          <w:numId w:val="1"/>
        </w:numPr>
        <w:spacing w:after="80"/>
      </w:pPr>
      <w:r>
        <w:rPr>
          <w:color w:val="000000"/>
          <w:sz w:val="20"/>
          <w:szCs w:val="20"/>
        </w:rPr>
        <w:t>New categories can be added at any time — new qualification types, skill categories, asset types, reward types — without touching code.</w:t>
      </w:r>
    </w:p>
    <w:p w14:paraId="6C2F92FE">
      <w:pPr>
        <w:pStyle w:val="16"/>
        <w:numPr>
          <w:ilvl w:val="0"/>
          <w:numId w:val="1"/>
        </w:numPr>
        <w:spacing w:after="80"/>
      </w:pPr>
      <w:r>
        <w:rPr>
          <w:color w:val="000000"/>
          <w:sz w:val="20"/>
          <w:szCs w:val="20"/>
        </w:rPr>
        <w:t>Configurable per grade, department, designation, or organization unit — rules don't have to be uniform across the organization.</w:t>
      </w:r>
    </w:p>
    <w:p w14:paraId="6590E1DA">
      <w:pPr>
        <w:spacing w:before="200"/>
      </w:pPr>
    </w:p>
    <w:p w14:paraId="6843959D">
      <w:pPr>
        <w:pStyle w:val="3"/>
        <w:spacing w:before="320" w:after="160"/>
      </w:pPr>
      <w:bookmarkStart w:id="7" w:name="_Toc297718569"/>
      <w:r>
        <w:t>3.2 Configuration Versioning Model</w:t>
      </w:r>
      <w:bookmarkEnd w:id="7"/>
    </w:p>
    <w:p w14:paraId="513356FC">
      <w:pPr>
        <w:spacing w:after="160"/>
        <w:jc w:val="both"/>
      </w:pPr>
      <w:r>
        <w:rPr>
          <w:color w:val="000000"/>
          <w:sz w:val="20"/>
          <w:szCs w:val="20"/>
        </w:rPr>
        <w:t>Every configuration entity follows the same versioning pattern:</w:t>
      </w:r>
    </w:p>
    <w:p w14:paraId="64CCD48E">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1"/>
        <w:gridCol w:w="6499"/>
      </w:tblGrid>
      <w:tr w14:paraId="53FFC78C">
        <w:trPr>
          <w:tblHeader/>
        </w:trPr>
        <w:tc>
          <w:tcPr>
            <w:tcW w:w="3000" w:type="dxa"/>
            <w:shd w:val="clear" w:color="auto" w:fill="1F4E79"/>
          </w:tcPr>
          <w:p w14:paraId="2BD64204">
            <w:r>
              <w:rPr>
                <w:b/>
                <w:bCs/>
                <w:color w:val="FFFFFF"/>
                <w:sz w:val="20"/>
                <w:szCs w:val="20"/>
              </w:rPr>
              <w:t>Field</w:t>
            </w:r>
          </w:p>
        </w:tc>
        <w:tc>
          <w:tcPr>
            <w:tcW w:w="7000" w:type="dxa"/>
            <w:shd w:val="clear" w:color="auto" w:fill="1F4E79"/>
          </w:tcPr>
          <w:p w14:paraId="0C930314">
            <w:r>
              <w:rPr>
                <w:b/>
                <w:bCs/>
                <w:color w:val="FFFFFF"/>
                <w:sz w:val="20"/>
                <w:szCs w:val="20"/>
              </w:rPr>
              <w:t>Purpose</w:t>
            </w:r>
          </w:p>
        </w:tc>
      </w:tr>
      <w:tr w14:paraId="2119C8A3">
        <w:tc>
          <w:tcPr>
            <w:tcW w:w="3000" w:type="dxa"/>
            <w:shd w:val="clear" w:color="auto" w:fill="FFFFFF"/>
          </w:tcPr>
          <w:p w14:paraId="65D59644">
            <w:r>
              <w:rPr>
                <w:sz w:val="20"/>
                <w:szCs w:val="20"/>
              </w:rPr>
              <w:t>config_id</w:t>
            </w:r>
          </w:p>
        </w:tc>
        <w:tc>
          <w:tcPr>
            <w:tcW w:w="7000" w:type="dxa"/>
            <w:shd w:val="clear" w:color="auto" w:fill="FFFFFF"/>
          </w:tcPr>
          <w:p w14:paraId="72BA46BA">
            <w:r>
              <w:rPr>
                <w:sz w:val="20"/>
                <w:szCs w:val="20"/>
              </w:rPr>
              <w:t>Unique identifier for the configuration record</w:t>
            </w:r>
          </w:p>
        </w:tc>
      </w:tr>
      <w:tr w14:paraId="24F5756B">
        <w:tc>
          <w:tcPr>
            <w:tcW w:w="3000" w:type="dxa"/>
            <w:shd w:val="clear" w:color="auto" w:fill="F2F2F2"/>
          </w:tcPr>
          <w:p w14:paraId="3E3D0C3E">
            <w:r>
              <w:rPr>
                <w:sz w:val="20"/>
                <w:szCs w:val="20"/>
              </w:rPr>
              <w:t>effective_from</w:t>
            </w:r>
          </w:p>
        </w:tc>
        <w:tc>
          <w:tcPr>
            <w:tcW w:w="7000" w:type="dxa"/>
            <w:shd w:val="clear" w:color="auto" w:fill="F2F2F2"/>
          </w:tcPr>
          <w:p w14:paraId="0AE1A8CA">
            <w:r>
              <w:rPr>
                <w:sz w:val="20"/>
                <w:szCs w:val="20"/>
              </w:rPr>
              <w:t>Date from which this configuration version is active</w:t>
            </w:r>
          </w:p>
        </w:tc>
      </w:tr>
      <w:tr w14:paraId="620D6F03">
        <w:tc>
          <w:tcPr>
            <w:tcW w:w="3000" w:type="dxa"/>
            <w:shd w:val="clear" w:color="auto" w:fill="FFFFFF"/>
          </w:tcPr>
          <w:p w14:paraId="7E5B79BD">
            <w:r>
              <w:rPr>
                <w:sz w:val="20"/>
                <w:szCs w:val="20"/>
              </w:rPr>
              <w:t>effective_to</w:t>
            </w:r>
          </w:p>
        </w:tc>
        <w:tc>
          <w:tcPr>
            <w:tcW w:w="7000" w:type="dxa"/>
            <w:shd w:val="clear" w:color="auto" w:fill="FFFFFF"/>
          </w:tcPr>
          <w:p w14:paraId="7C88DA5B">
            <w:r>
              <w:rPr>
                <w:sz w:val="20"/>
                <w:szCs w:val="20"/>
              </w:rPr>
              <w:t>Date until which this version is active (null = current)</w:t>
            </w:r>
          </w:p>
        </w:tc>
      </w:tr>
      <w:tr w14:paraId="3167947B">
        <w:tc>
          <w:tcPr>
            <w:tcW w:w="3000" w:type="dxa"/>
            <w:shd w:val="clear" w:color="auto" w:fill="F2F2F2"/>
          </w:tcPr>
          <w:p w14:paraId="76C303AC">
            <w:r>
              <w:rPr>
                <w:sz w:val="20"/>
                <w:szCs w:val="20"/>
              </w:rPr>
              <w:t>is_active</w:t>
            </w:r>
          </w:p>
        </w:tc>
        <w:tc>
          <w:tcPr>
            <w:tcW w:w="7000" w:type="dxa"/>
            <w:shd w:val="clear" w:color="auto" w:fill="F2F2F2"/>
          </w:tcPr>
          <w:p w14:paraId="3A7AF6A3">
            <w:r>
              <w:rPr>
                <w:sz w:val="20"/>
                <w:szCs w:val="20"/>
              </w:rPr>
              <w:t>Boolean flag for the current active version</w:t>
            </w:r>
          </w:p>
        </w:tc>
      </w:tr>
      <w:tr w14:paraId="2CCCBC86">
        <w:tc>
          <w:tcPr>
            <w:tcW w:w="3000" w:type="dxa"/>
            <w:shd w:val="clear" w:color="auto" w:fill="FFFFFF"/>
          </w:tcPr>
          <w:p w14:paraId="538AEEEE">
            <w:r>
              <w:rPr>
                <w:sz w:val="20"/>
                <w:szCs w:val="20"/>
              </w:rPr>
              <w:t>created_by</w:t>
            </w:r>
          </w:p>
        </w:tc>
        <w:tc>
          <w:tcPr>
            <w:tcW w:w="7000" w:type="dxa"/>
            <w:shd w:val="clear" w:color="auto" w:fill="FFFFFF"/>
          </w:tcPr>
          <w:p w14:paraId="12F9BC7E">
            <w:r>
              <w:rPr>
                <w:sz w:val="20"/>
                <w:szCs w:val="20"/>
              </w:rPr>
              <w:t>Admin user who created this configuration</w:t>
            </w:r>
          </w:p>
        </w:tc>
      </w:tr>
      <w:tr w14:paraId="4D2562EB">
        <w:tc>
          <w:tcPr>
            <w:tcW w:w="3000" w:type="dxa"/>
            <w:shd w:val="clear" w:color="auto" w:fill="F2F2F2"/>
          </w:tcPr>
          <w:p w14:paraId="0C72FBC4">
            <w:r>
              <w:rPr>
                <w:sz w:val="20"/>
                <w:szCs w:val="20"/>
              </w:rPr>
              <w:t>created_at</w:t>
            </w:r>
          </w:p>
        </w:tc>
        <w:tc>
          <w:tcPr>
            <w:tcW w:w="7000" w:type="dxa"/>
            <w:shd w:val="clear" w:color="auto" w:fill="F2F2F2"/>
          </w:tcPr>
          <w:p w14:paraId="31106E46">
            <w:r>
              <w:rPr>
                <w:sz w:val="20"/>
                <w:szCs w:val="20"/>
              </w:rPr>
              <w:t>Timestamp of creation</w:t>
            </w:r>
          </w:p>
        </w:tc>
      </w:tr>
      <w:tr w14:paraId="601B8799">
        <w:tc>
          <w:tcPr>
            <w:tcW w:w="3000" w:type="dxa"/>
            <w:shd w:val="clear" w:color="auto" w:fill="FFFFFF"/>
          </w:tcPr>
          <w:p w14:paraId="7CBD23F5">
            <w:r>
              <w:rPr>
                <w:sz w:val="20"/>
                <w:szCs w:val="20"/>
              </w:rPr>
              <w:t>change_reason</w:t>
            </w:r>
          </w:p>
        </w:tc>
        <w:tc>
          <w:tcPr>
            <w:tcW w:w="7000" w:type="dxa"/>
            <w:shd w:val="clear" w:color="auto" w:fill="FFFFFF"/>
          </w:tcPr>
          <w:p w14:paraId="4ED462C2">
            <w:r>
              <w:rPr>
                <w:sz w:val="20"/>
                <w:szCs w:val="20"/>
              </w:rPr>
              <w:t>Mandatory reason log for every configuration change</w:t>
            </w:r>
          </w:p>
        </w:tc>
      </w:tr>
    </w:tbl>
    <w:p w14:paraId="38B5409E">
      <w:pPr>
        <w:spacing w:before="200"/>
      </w:pPr>
    </w:p>
    <w:p w14:paraId="684652D8">
      <w:pPr>
        <w:spacing w:after="160"/>
        <w:jc w:val="both"/>
      </w:pPr>
      <w:r>
        <w:rPr>
          <w:color w:val="000000"/>
          <w:sz w:val="20"/>
          <w:szCs w:val="20"/>
        </w:rPr>
        <w:t>When a configuration is updated, the old record's effective_to is set to today's date and a new record is inserted with effective_from = tomorrow. No configuration record is ever deleted.</w:t>
      </w:r>
    </w:p>
    <w:p w14:paraId="031032EF">
      <w:r>
        <w:br w:type="page"/>
      </w:r>
    </w:p>
    <w:p w14:paraId="18AA1F50">
      <w:pPr>
        <w:pStyle w:val="2"/>
        <w:pBdr>
          <w:bottom w:val="single" w:color="2E75B6" w:sz="8" w:space="0"/>
        </w:pBdr>
        <w:spacing w:before="480" w:after="200"/>
      </w:pPr>
      <w:bookmarkStart w:id="8" w:name="_Toc119091673"/>
      <w:r>
        <w:t>4. Configuration Entity Catalog</w:t>
      </w:r>
      <w:bookmarkEnd w:id="8"/>
    </w:p>
    <w:p w14:paraId="41297134">
      <w:pPr>
        <w:spacing w:after="160"/>
        <w:jc w:val="both"/>
      </w:pPr>
      <w:r>
        <w:rPr>
          <w:color w:val="000000"/>
          <w:sz w:val="20"/>
          <w:szCs w:val="20"/>
        </w:rPr>
        <w:t>The following tables define every configurable entity in the system. All are managed through the HR/Finance Admin Dashboard with full version control.</w:t>
      </w:r>
    </w:p>
    <w:p w14:paraId="1008B68F">
      <w:pPr>
        <w:spacing w:before="100"/>
      </w:pPr>
    </w:p>
    <w:p w14:paraId="44DA129A">
      <w:pPr>
        <w:pStyle w:val="3"/>
        <w:spacing w:before="320" w:after="160"/>
      </w:pPr>
      <w:bookmarkStart w:id="9" w:name="_Toc118989107"/>
      <w:r>
        <w:t>4.1 BPV Engine Configuration Entities</w:t>
      </w:r>
      <w:bookmarkEnd w:id="9"/>
    </w:p>
    <w:p w14:paraId="586EC6F6">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62"/>
        <w:gridCol w:w="4192"/>
        <w:gridCol w:w="1906"/>
      </w:tblGrid>
      <w:tr w14:paraId="206B6263">
        <w:trPr>
          <w:tblHeader/>
        </w:trPr>
        <w:tc>
          <w:tcPr>
            <w:tcW w:w="3500" w:type="dxa"/>
            <w:shd w:val="clear" w:color="auto" w:fill="1F4E79"/>
          </w:tcPr>
          <w:p w14:paraId="24D8753C">
            <w:r>
              <w:rPr>
                <w:b/>
                <w:bCs/>
                <w:color w:val="FFFFFF"/>
                <w:sz w:val="20"/>
                <w:szCs w:val="20"/>
              </w:rPr>
              <w:t>Config Entity / Table</w:t>
            </w:r>
          </w:p>
        </w:tc>
        <w:tc>
          <w:tcPr>
            <w:tcW w:w="4500" w:type="dxa"/>
            <w:shd w:val="clear" w:color="auto" w:fill="1F4E79"/>
          </w:tcPr>
          <w:p w14:paraId="122BA9EB">
            <w:r>
              <w:rPr>
                <w:b/>
                <w:bCs/>
                <w:color w:val="FFFFFF"/>
                <w:sz w:val="20"/>
                <w:szCs w:val="20"/>
              </w:rPr>
              <w:t>Purpose</w:t>
            </w:r>
          </w:p>
        </w:tc>
        <w:tc>
          <w:tcPr>
            <w:tcW w:w="2000" w:type="dxa"/>
            <w:shd w:val="clear" w:color="auto" w:fill="1F4E79"/>
          </w:tcPr>
          <w:p w14:paraId="505FE6CF">
            <w:r>
              <w:rPr>
                <w:b/>
                <w:bCs/>
                <w:color w:val="FFFFFF"/>
                <w:sz w:val="20"/>
                <w:szCs w:val="20"/>
              </w:rPr>
              <w:t>Who Configures</w:t>
            </w:r>
          </w:p>
        </w:tc>
      </w:tr>
      <w:tr w14:paraId="0ECD7B56">
        <w:tc>
          <w:tcPr>
            <w:tcW w:w="3500" w:type="dxa"/>
            <w:shd w:val="clear" w:color="auto" w:fill="FFFFFF"/>
          </w:tcPr>
          <w:p w14:paraId="5BC9D539">
            <w:r>
              <w:rPr>
                <w:sz w:val="20"/>
                <w:szCs w:val="20"/>
              </w:rPr>
              <w:t>BPV Weight Config</w:t>
            </w:r>
          </w:p>
        </w:tc>
        <w:tc>
          <w:tcPr>
            <w:tcW w:w="4500" w:type="dxa"/>
            <w:shd w:val="clear" w:color="auto" w:fill="FFFFFF"/>
          </w:tcPr>
          <w:p w14:paraId="4FA704DC">
            <w:r>
              <w:rPr>
                <w:sz w:val="20"/>
                <w:szCs w:val="20"/>
              </w:rPr>
              <w:t>Stores the percentage weight for each BPV scoring factor (education, experience, org profile, skills, certifications). Must sum to 100%. Versioned with effective dates.</w:t>
            </w:r>
          </w:p>
        </w:tc>
        <w:tc>
          <w:tcPr>
            <w:tcW w:w="2000" w:type="dxa"/>
            <w:shd w:val="clear" w:color="auto" w:fill="FFFFFF"/>
          </w:tcPr>
          <w:p w14:paraId="426C8BCA">
            <w:r>
              <w:rPr>
                <w:sz w:val="20"/>
                <w:szCs w:val="20"/>
              </w:rPr>
              <w:t>HR Admin</w:t>
            </w:r>
          </w:p>
        </w:tc>
      </w:tr>
      <w:tr w14:paraId="0D15773D">
        <w:tc>
          <w:tcPr>
            <w:tcW w:w="3500" w:type="dxa"/>
            <w:shd w:val="clear" w:color="auto" w:fill="F2F2F2"/>
          </w:tcPr>
          <w:p w14:paraId="761081C0">
            <w:r>
              <w:rPr>
                <w:sz w:val="20"/>
                <w:szCs w:val="20"/>
              </w:rPr>
              <w:t>Qualification Master</w:t>
            </w:r>
          </w:p>
        </w:tc>
        <w:tc>
          <w:tcPr>
            <w:tcW w:w="4500" w:type="dxa"/>
            <w:shd w:val="clear" w:color="auto" w:fill="F2F2F2"/>
          </w:tcPr>
          <w:p w14:paraId="21746B4A">
            <w:r>
              <w:rPr>
                <w:sz w:val="20"/>
                <w:szCs w:val="20"/>
              </w:rPr>
              <w:t>Defines every recognized qualification type and its base score contribution. HR can add new qualifications at any time.</w:t>
            </w:r>
          </w:p>
        </w:tc>
        <w:tc>
          <w:tcPr>
            <w:tcW w:w="2000" w:type="dxa"/>
            <w:shd w:val="clear" w:color="auto" w:fill="F2F2F2"/>
          </w:tcPr>
          <w:p w14:paraId="26716635">
            <w:r>
              <w:rPr>
                <w:sz w:val="20"/>
                <w:szCs w:val="20"/>
              </w:rPr>
              <w:t>HR Admin</w:t>
            </w:r>
          </w:p>
        </w:tc>
      </w:tr>
      <w:tr w14:paraId="652CE4A2">
        <w:tc>
          <w:tcPr>
            <w:tcW w:w="3500" w:type="dxa"/>
            <w:shd w:val="clear" w:color="auto" w:fill="FFFFFF"/>
          </w:tcPr>
          <w:p w14:paraId="51942901">
            <w:r>
              <w:rPr>
                <w:sz w:val="20"/>
                <w:szCs w:val="20"/>
              </w:rPr>
              <w:t>Experience Band Master</w:t>
            </w:r>
          </w:p>
        </w:tc>
        <w:tc>
          <w:tcPr>
            <w:tcW w:w="4500" w:type="dxa"/>
            <w:shd w:val="clear" w:color="auto" w:fill="FFFFFF"/>
          </w:tcPr>
          <w:p w14:paraId="1C3944CF">
            <w:r>
              <w:rPr>
                <w:sz w:val="20"/>
                <w:szCs w:val="20"/>
              </w:rPr>
              <w:t>Maps year ranges to score points (e.g., 0–2 yrs = 5 pts, 3–5 yrs = 10 pts). Bands and points are fully configurable.</w:t>
            </w:r>
          </w:p>
        </w:tc>
        <w:tc>
          <w:tcPr>
            <w:tcW w:w="2000" w:type="dxa"/>
            <w:shd w:val="clear" w:color="auto" w:fill="FFFFFF"/>
          </w:tcPr>
          <w:p w14:paraId="12BB706A">
            <w:r>
              <w:rPr>
                <w:sz w:val="20"/>
                <w:szCs w:val="20"/>
              </w:rPr>
              <w:t>HR Admin</w:t>
            </w:r>
          </w:p>
        </w:tc>
      </w:tr>
      <w:tr w14:paraId="3C004CE8">
        <w:tc>
          <w:tcPr>
            <w:tcW w:w="3500" w:type="dxa"/>
            <w:shd w:val="clear" w:color="auto" w:fill="F2F2F2"/>
          </w:tcPr>
          <w:p w14:paraId="69B2AF72">
            <w:r>
              <w:rPr>
                <w:sz w:val="20"/>
                <w:szCs w:val="20"/>
              </w:rPr>
              <w:t>Experience Type Master</w:t>
            </w:r>
          </w:p>
        </w:tc>
        <w:tc>
          <w:tcPr>
            <w:tcW w:w="4500" w:type="dxa"/>
            <w:shd w:val="clear" w:color="auto" w:fill="F2F2F2"/>
          </w:tcPr>
          <w:p w14:paraId="5FD5777E">
            <w:r>
              <w:rPr>
                <w:sz w:val="20"/>
                <w:szCs w:val="20"/>
              </w:rPr>
              <w:t>Defines types of experience (domain, enterprise, global, leadership) and their individual weight contribution within the experience scoring factor.</w:t>
            </w:r>
          </w:p>
        </w:tc>
        <w:tc>
          <w:tcPr>
            <w:tcW w:w="2000" w:type="dxa"/>
            <w:shd w:val="clear" w:color="auto" w:fill="F2F2F2"/>
          </w:tcPr>
          <w:p w14:paraId="5A3AC5F0">
            <w:r>
              <w:rPr>
                <w:sz w:val="20"/>
                <w:szCs w:val="20"/>
              </w:rPr>
              <w:t>HR Admin</w:t>
            </w:r>
          </w:p>
        </w:tc>
      </w:tr>
      <w:tr w14:paraId="414E9C63">
        <w:tc>
          <w:tcPr>
            <w:tcW w:w="3500" w:type="dxa"/>
            <w:shd w:val="clear" w:color="auto" w:fill="FFFFFF"/>
          </w:tcPr>
          <w:p w14:paraId="38D2EAA7">
            <w:r>
              <w:rPr>
                <w:sz w:val="20"/>
                <w:szCs w:val="20"/>
              </w:rPr>
              <w:t>Organization Type Master</w:t>
            </w:r>
          </w:p>
        </w:tc>
        <w:tc>
          <w:tcPr>
            <w:tcW w:w="4500" w:type="dxa"/>
            <w:shd w:val="clear" w:color="auto" w:fill="FFFFFF"/>
          </w:tcPr>
          <w:p w14:paraId="047BDEDF">
            <w:r>
              <w:rPr>
                <w:sz w:val="20"/>
                <w:szCs w:val="20"/>
              </w:rPr>
              <w:t>Maps organization types (startup, Fortune 500, government, research, etc.) to score values. New org types can be added at any time.</w:t>
            </w:r>
          </w:p>
        </w:tc>
        <w:tc>
          <w:tcPr>
            <w:tcW w:w="2000" w:type="dxa"/>
            <w:shd w:val="clear" w:color="auto" w:fill="FFFFFF"/>
          </w:tcPr>
          <w:p w14:paraId="19D52E9F">
            <w:r>
              <w:rPr>
                <w:sz w:val="20"/>
                <w:szCs w:val="20"/>
              </w:rPr>
              <w:t>HR Admin</w:t>
            </w:r>
          </w:p>
        </w:tc>
      </w:tr>
      <w:tr w14:paraId="2F7CDBD6">
        <w:tc>
          <w:tcPr>
            <w:tcW w:w="3500" w:type="dxa"/>
            <w:shd w:val="clear" w:color="auto" w:fill="F2F2F2"/>
          </w:tcPr>
          <w:p w14:paraId="02E3899A">
            <w:r>
              <w:rPr>
                <w:sz w:val="20"/>
                <w:szCs w:val="20"/>
              </w:rPr>
              <w:t>Skill Category Master</w:t>
            </w:r>
          </w:p>
        </w:tc>
        <w:tc>
          <w:tcPr>
            <w:tcW w:w="4500" w:type="dxa"/>
            <w:shd w:val="clear" w:color="auto" w:fill="F2F2F2"/>
          </w:tcPr>
          <w:p w14:paraId="5758BD1E">
            <w:r>
              <w:rPr>
                <w:sz w:val="20"/>
                <w:szCs w:val="20"/>
              </w:rPr>
              <w:t>Defines skill categories (programming languages, platforms, frameworks, tools, methodologies). Categories are configurable.</w:t>
            </w:r>
          </w:p>
        </w:tc>
        <w:tc>
          <w:tcPr>
            <w:tcW w:w="2000" w:type="dxa"/>
            <w:shd w:val="clear" w:color="auto" w:fill="F2F2F2"/>
          </w:tcPr>
          <w:p w14:paraId="28953CA0">
            <w:r>
              <w:rPr>
                <w:sz w:val="20"/>
                <w:szCs w:val="20"/>
              </w:rPr>
              <w:t>HR Admin</w:t>
            </w:r>
          </w:p>
        </w:tc>
      </w:tr>
      <w:tr w14:paraId="5BC6E5E2">
        <w:tc>
          <w:tcPr>
            <w:tcW w:w="3500" w:type="dxa"/>
            <w:shd w:val="clear" w:color="auto" w:fill="FFFFFF"/>
          </w:tcPr>
          <w:p w14:paraId="1CE4C81C">
            <w:r>
              <w:rPr>
                <w:sz w:val="20"/>
                <w:szCs w:val="20"/>
              </w:rPr>
              <w:t>Skill Master</w:t>
            </w:r>
          </w:p>
        </w:tc>
        <w:tc>
          <w:tcPr>
            <w:tcW w:w="4500" w:type="dxa"/>
            <w:shd w:val="clear" w:color="auto" w:fill="FFFFFF"/>
          </w:tcPr>
          <w:p w14:paraId="4045D861">
            <w:r>
              <w:rPr>
                <w:sz w:val="20"/>
                <w:szCs w:val="20"/>
              </w:rPr>
              <w:t>Stores individual skills under each category. New skills are added by HR or IT as the technology landscape evolves.</w:t>
            </w:r>
          </w:p>
        </w:tc>
        <w:tc>
          <w:tcPr>
            <w:tcW w:w="2000" w:type="dxa"/>
            <w:shd w:val="clear" w:color="auto" w:fill="FFFFFF"/>
          </w:tcPr>
          <w:p w14:paraId="7A9EE439">
            <w:r>
              <w:rPr>
                <w:sz w:val="20"/>
                <w:szCs w:val="20"/>
              </w:rPr>
              <w:t>HR Admin / IT</w:t>
            </w:r>
          </w:p>
        </w:tc>
      </w:tr>
      <w:tr w14:paraId="3BA1FBE2">
        <w:tc>
          <w:tcPr>
            <w:tcW w:w="3500" w:type="dxa"/>
            <w:shd w:val="clear" w:color="auto" w:fill="F2F2F2"/>
          </w:tcPr>
          <w:p w14:paraId="05546C98">
            <w:r>
              <w:rPr>
                <w:sz w:val="20"/>
                <w:szCs w:val="20"/>
              </w:rPr>
              <w:t>Skill Proficiency Master</w:t>
            </w:r>
          </w:p>
        </w:tc>
        <w:tc>
          <w:tcPr>
            <w:tcW w:w="4500" w:type="dxa"/>
            <w:shd w:val="clear" w:color="auto" w:fill="F2F2F2"/>
          </w:tcPr>
          <w:p w14:paraId="4CA55207">
            <w:r>
              <w:rPr>
                <w:sz w:val="20"/>
                <w:szCs w:val="20"/>
              </w:rPr>
              <w:t>Defines proficiency levels (e.g., beginner, intermediate, expert) and the score multiplier for each level. Levels and multipliers are configurable.</w:t>
            </w:r>
          </w:p>
        </w:tc>
        <w:tc>
          <w:tcPr>
            <w:tcW w:w="2000" w:type="dxa"/>
            <w:shd w:val="clear" w:color="auto" w:fill="F2F2F2"/>
          </w:tcPr>
          <w:p w14:paraId="21E59146">
            <w:r>
              <w:rPr>
                <w:sz w:val="20"/>
                <w:szCs w:val="20"/>
              </w:rPr>
              <w:t>HR Admin</w:t>
            </w:r>
          </w:p>
        </w:tc>
      </w:tr>
      <w:tr w14:paraId="4C77E571">
        <w:tc>
          <w:tcPr>
            <w:tcW w:w="3500" w:type="dxa"/>
            <w:shd w:val="clear" w:color="auto" w:fill="FFFFFF"/>
          </w:tcPr>
          <w:p w14:paraId="42088DEB">
            <w:r>
              <w:rPr>
                <w:sz w:val="20"/>
                <w:szCs w:val="20"/>
              </w:rPr>
              <w:t>Certification Master</w:t>
            </w:r>
          </w:p>
        </w:tc>
        <w:tc>
          <w:tcPr>
            <w:tcW w:w="4500" w:type="dxa"/>
            <w:shd w:val="clear" w:color="auto" w:fill="FFFFFF"/>
          </w:tcPr>
          <w:p w14:paraId="5DE56D25">
            <w:r>
              <w:rPr>
                <w:sz w:val="20"/>
                <w:szCs w:val="20"/>
              </w:rPr>
              <w:t>Stores recognized certifications (AWS, Azure, PMP, CPA, etc.) with their score contribution. New certifications are added by HR.</w:t>
            </w:r>
          </w:p>
        </w:tc>
        <w:tc>
          <w:tcPr>
            <w:tcW w:w="2000" w:type="dxa"/>
            <w:shd w:val="clear" w:color="auto" w:fill="FFFFFF"/>
          </w:tcPr>
          <w:p w14:paraId="249A60F4">
            <w:r>
              <w:rPr>
                <w:sz w:val="20"/>
                <w:szCs w:val="20"/>
              </w:rPr>
              <w:t>HR Admin</w:t>
            </w:r>
          </w:p>
        </w:tc>
      </w:tr>
      <w:tr w14:paraId="008F499F">
        <w:tc>
          <w:tcPr>
            <w:tcW w:w="3500" w:type="dxa"/>
            <w:shd w:val="clear" w:color="auto" w:fill="F2F2F2"/>
          </w:tcPr>
          <w:p w14:paraId="2AFF49D2">
            <w:r>
              <w:rPr>
                <w:sz w:val="20"/>
                <w:szCs w:val="20"/>
              </w:rPr>
              <w:t>BPV Score Cap Config</w:t>
            </w:r>
          </w:p>
        </w:tc>
        <w:tc>
          <w:tcPr>
            <w:tcW w:w="4500" w:type="dxa"/>
            <w:shd w:val="clear" w:color="auto" w:fill="F2F2F2"/>
          </w:tcPr>
          <w:p w14:paraId="511464AC">
            <w:r>
              <w:rPr>
                <w:sz w:val="20"/>
                <w:szCs w:val="20"/>
              </w:rPr>
              <w:t>Defines the maximum allowable BPV score (optional ceiling). Can be set per designation or grade.</w:t>
            </w:r>
          </w:p>
        </w:tc>
        <w:tc>
          <w:tcPr>
            <w:tcW w:w="2000" w:type="dxa"/>
            <w:shd w:val="clear" w:color="auto" w:fill="F2F2F2"/>
          </w:tcPr>
          <w:p w14:paraId="324527E2">
            <w:r>
              <w:rPr>
                <w:sz w:val="20"/>
                <w:szCs w:val="20"/>
              </w:rPr>
              <w:t>HR Admin</w:t>
            </w:r>
          </w:p>
        </w:tc>
      </w:tr>
    </w:tbl>
    <w:p w14:paraId="2C06934F">
      <w:pPr>
        <w:spacing w:before="200"/>
      </w:pPr>
    </w:p>
    <w:p w14:paraId="1A91B0C5">
      <w:pPr>
        <w:pStyle w:val="3"/>
        <w:spacing w:before="320" w:after="160"/>
      </w:pPr>
      <w:bookmarkStart w:id="10" w:name="_Toc542645992"/>
      <w:r>
        <w:t>4.2 Time Reporting Configuration Entities</w:t>
      </w:r>
      <w:bookmarkEnd w:id="10"/>
    </w:p>
    <w:p w14:paraId="16749361">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52"/>
        <w:gridCol w:w="4195"/>
        <w:gridCol w:w="1913"/>
      </w:tblGrid>
      <w:tr w14:paraId="5F57BBD9">
        <w:trPr>
          <w:tblHeader/>
        </w:trPr>
        <w:tc>
          <w:tcPr>
            <w:tcW w:w="3500" w:type="dxa"/>
            <w:shd w:val="clear" w:color="auto" w:fill="1F4E79"/>
          </w:tcPr>
          <w:p w14:paraId="2834B469">
            <w:r>
              <w:rPr>
                <w:b/>
                <w:bCs/>
                <w:color w:val="FFFFFF"/>
                <w:sz w:val="20"/>
                <w:szCs w:val="20"/>
              </w:rPr>
              <w:t>Config Entity / Table</w:t>
            </w:r>
          </w:p>
        </w:tc>
        <w:tc>
          <w:tcPr>
            <w:tcW w:w="4500" w:type="dxa"/>
            <w:shd w:val="clear" w:color="auto" w:fill="1F4E79"/>
          </w:tcPr>
          <w:p w14:paraId="54023ABF">
            <w:r>
              <w:rPr>
                <w:b/>
                <w:bCs/>
                <w:color w:val="FFFFFF"/>
                <w:sz w:val="20"/>
                <w:szCs w:val="20"/>
              </w:rPr>
              <w:t>Purpose</w:t>
            </w:r>
          </w:p>
        </w:tc>
        <w:tc>
          <w:tcPr>
            <w:tcW w:w="2000" w:type="dxa"/>
            <w:shd w:val="clear" w:color="auto" w:fill="1F4E79"/>
          </w:tcPr>
          <w:p w14:paraId="11A5EB30">
            <w:r>
              <w:rPr>
                <w:b/>
                <w:bCs/>
                <w:color w:val="FFFFFF"/>
                <w:sz w:val="20"/>
                <w:szCs w:val="20"/>
              </w:rPr>
              <w:t>Who Configures</w:t>
            </w:r>
          </w:p>
        </w:tc>
      </w:tr>
      <w:tr w14:paraId="3D96302D">
        <w:tc>
          <w:tcPr>
            <w:tcW w:w="3500" w:type="dxa"/>
            <w:shd w:val="clear" w:color="auto" w:fill="FFFFFF"/>
          </w:tcPr>
          <w:p w14:paraId="545CE8C4">
            <w:r>
              <w:rPr>
                <w:sz w:val="20"/>
                <w:szCs w:val="20"/>
              </w:rPr>
              <w:t>Time Block Master</w:t>
            </w:r>
          </w:p>
        </w:tc>
        <w:tc>
          <w:tcPr>
            <w:tcW w:w="4500" w:type="dxa"/>
            <w:shd w:val="clear" w:color="auto" w:fill="FFFFFF"/>
          </w:tcPr>
          <w:p w14:paraId="5A51C28E">
            <w:r>
              <w:rPr>
                <w:sz w:val="20"/>
                <w:szCs w:val="20"/>
              </w:rPr>
              <w:t>Defines the allowed time reporting options (e.g., 1 hr, 2 hrs, 4 hrs, 6 hrs). HR can add or remove blocks without code changes.</w:t>
            </w:r>
          </w:p>
        </w:tc>
        <w:tc>
          <w:tcPr>
            <w:tcW w:w="2000" w:type="dxa"/>
            <w:shd w:val="clear" w:color="auto" w:fill="FFFFFF"/>
          </w:tcPr>
          <w:p w14:paraId="5917539D">
            <w:r>
              <w:rPr>
                <w:sz w:val="20"/>
                <w:szCs w:val="20"/>
              </w:rPr>
              <w:t>HR Admin</w:t>
            </w:r>
          </w:p>
        </w:tc>
      </w:tr>
      <w:tr w14:paraId="27FBCA77">
        <w:tc>
          <w:tcPr>
            <w:tcW w:w="3500" w:type="dxa"/>
            <w:shd w:val="clear" w:color="auto" w:fill="F2F2F2"/>
          </w:tcPr>
          <w:p w14:paraId="52D7FFBC">
            <w:r>
              <w:rPr>
                <w:sz w:val="20"/>
                <w:szCs w:val="20"/>
              </w:rPr>
              <w:t>Task Category Master</w:t>
            </w:r>
          </w:p>
        </w:tc>
        <w:tc>
          <w:tcPr>
            <w:tcW w:w="4500" w:type="dxa"/>
            <w:shd w:val="clear" w:color="auto" w:fill="F2F2F2"/>
          </w:tcPr>
          <w:p w14:paraId="2C1C182C">
            <w:r>
              <w:rPr>
                <w:sz w:val="20"/>
                <w:szCs w:val="20"/>
              </w:rPr>
              <w:t>Defines task categories with configurable benchmark durations. Benchmark times are used for efficiency scoring comparisons.</w:t>
            </w:r>
          </w:p>
        </w:tc>
        <w:tc>
          <w:tcPr>
            <w:tcW w:w="2000" w:type="dxa"/>
            <w:shd w:val="clear" w:color="auto" w:fill="F2F2F2"/>
          </w:tcPr>
          <w:p w14:paraId="72B56665">
            <w:r>
              <w:rPr>
                <w:sz w:val="20"/>
                <w:szCs w:val="20"/>
              </w:rPr>
              <w:t>HR Admin / Manager</w:t>
            </w:r>
          </w:p>
        </w:tc>
      </w:tr>
      <w:tr w14:paraId="54A57A4A">
        <w:tc>
          <w:tcPr>
            <w:tcW w:w="3500" w:type="dxa"/>
            <w:shd w:val="clear" w:color="auto" w:fill="FFFFFF"/>
          </w:tcPr>
          <w:p w14:paraId="1836247B">
            <w:r>
              <w:rPr>
                <w:sz w:val="20"/>
                <w:szCs w:val="20"/>
              </w:rPr>
              <w:t>Quality Rating Master</w:t>
            </w:r>
          </w:p>
        </w:tc>
        <w:tc>
          <w:tcPr>
            <w:tcW w:w="4500" w:type="dxa"/>
            <w:shd w:val="clear" w:color="auto" w:fill="FFFFFF"/>
          </w:tcPr>
          <w:p w14:paraId="5C19BB16">
            <w:r>
              <w:rPr>
                <w:sz w:val="20"/>
                <w:szCs w:val="20"/>
              </w:rPr>
              <w:t>Defines the quality rating scale (e.g., 1–5, or Poor / Acceptable / Good / Excellent) used by managers when reviewing task delivery.</w:t>
            </w:r>
          </w:p>
        </w:tc>
        <w:tc>
          <w:tcPr>
            <w:tcW w:w="2000" w:type="dxa"/>
            <w:shd w:val="clear" w:color="auto" w:fill="FFFFFF"/>
          </w:tcPr>
          <w:p w14:paraId="538CD1A3">
            <w:r>
              <w:rPr>
                <w:sz w:val="20"/>
                <w:szCs w:val="20"/>
              </w:rPr>
              <w:t>HR Admin</w:t>
            </w:r>
          </w:p>
        </w:tc>
      </w:tr>
      <w:tr w14:paraId="2CF93811">
        <w:tc>
          <w:tcPr>
            <w:tcW w:w="3500" w:type="dxa"/>
            <w:shd w:val="clear" w:color="auto" w:fill="F2F2F2"/>
          </w:tcPr>
          <w:p w14:paraId="02512AB5">
            <w:r>
              <w:rPr>
                <w:sz w:val="20"/>
                <w:szCs w:val="20"/>
              </w:rPr>
              <w:t>Quality Criteria Master</w:t>
            </w:r>
          </w:p>
        </w:tc>
        <w:tc>
          <w:tcPr>
            <w:tcW w:w="4500" w:type="dxa"/>
            <w:shd w:val="clear" w:color="auto" w:fill="F2F2F2"/>
          </w:tcPr>
          <w:p w14:paraId="530AFEC2">
            <w:r>
              <w:rPr>
                <w:sz w:val="20"/>
                <w:szCs w:val="20"/>
              </w:rPr>
              <w:t>Maps quality criteria checklist items to task categories. Different task types can have different quality review criteria.</w:t>
            </w:r>
          </w:p>
        </w:tc>
        <w:tc>
          <w:tcPr>
            <w:tcW w:w="2000" w:type="dxa"/>
            <w:shd w:val="clear" w:color="auto" w:fill="F2F2F2"/>
          </w:tcPr>
          <w:p w14:paraId="6BC4F59D">
            <w:r>
              <w:rPr>
                <w:sz w:val="20"/>
                <w:szCs w:val="20"/>
              </w:rPr>
              <w:t>HR Admin / Manager</w:t>
            </w:r>
          </w:p>
        </w:tc>
      </w:tr>
    </w:tbl>
    <w:p w14:paraId="4EEB90F1">
      <w:pPr>
        <w:spacing w:before="200"/>
      </w:pPr>
    </w:p>
    <w:p w14:paraId="6F3A2523">
      <w:pPr>
        <w:pStyle w:val="3"/>
        <w:spacing w:before="320" w:after="160"/>
      </w:pPr>
      <w:bookmarkStart w:id="11" w:name="_Toc2035622382"/>
      <w:r>
        <w:t>4.3 Salary Structure Configuration Entities</w:t>
      </w:r>
      <w:bookmarkEnd w:id="11"/>
    </w:p>
    <w:p w14:paraId="3070C3EB">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50"/>
        <w:gridCol w:w="4197"/>
        <w:gridCol w:w="1913"/>
      </w:tblGrid>
      <w:tr w14:paraId="11F2272F">
        <w:trPr>
          <w:tblHeader/>
        </w:trPr>
        <w:tc>
          <w:tcPr>
            <w:tcW w:w="3500" w:type="dxa"/>
            <w:shd w:val="clear" w:color="auto" w:fill="1F4E79"/>
          </w:tcPr>
          <w:p w14:paraId="3988F632">
            <w:r>
              <w:rPr>
                <w:b/>
                <w:bCs/>
                <w:color w:val="FFFFFF"/>
                <w:sz w:val="20"/>
                <w:szCs w:val="20"/>
              </w:rPr>
              <w:t>Config Entity / Table</w:t>
            </w:r>
          </w:p>
        </w:tc>
        <w:tc>
          <w:tcPr>
            <w:tcW w:w="4500" w:type="dxa"/>
            <w:shd w:val="clear" w:color="auto" w:fill="1F4E79"/>
          </w:tcPr>
          <w:p w14:paraId="6542DEBA">
            <w:r>
              <w:rPr>
                <w:b/>
                <w:bCs/>
                <w:color w:val="FFFFFF"/>
                <w:sz w:val="20"/>
                <w:szCs w:val="20"/>
              </w:rPr>
              <w:t>Purpose</w:t>
            </w:r>
          </w:p>
        </w:tc>
        <w:tc>
          <w:tcPr>
            <w:tcW w:w="2000" w:type="dxa"/>
            <w:shd w:val="clear" w:color="auto" w:fill="1F4E79"/>
          </w:tcPr>
          <w:p w14:paraId="1B4E5D9F">
            <w:r>
              <w:rPr>
                <w:b/>
                <w:bCs/>
                <w:color w:val="FFFFFF"/>
                <w:sz w:val="20"/>
                <w:szCs w:val="20"/>
              </w:rPr>
              <w:t>Who Configures</w:t>
            </w:r>
          </w:p>
        </w:tc>
      </w:tr>
      <w:tr w14:paraId="637CE4A2">
        <w:tc>
          <w:tcPr>
            <w:tcW w:w="3500" w:type="dxa"/>
            <w:shd w:val="clear" w:color="auto" w:fill="FFFFFF"/>
          </w:tcPr>
          <w:p w14:paraId="052E116F">
            <w:r>
              <w:rPr>
                <w:sz w:val="20"/>
                <w:szCs w:val="20"/>
              </w:rPr>
              <w:t>Salary Grade Master</w:t>
            </w:r>
          </w:p>
        </w:tc>
        <w:tc>
          <w:tcPr>
            <w:tcW w:w="4500" w:type="dxa"/>
            <w:shd w:val="clear" w:color="auto" w:fill="FFFFFF"/>
          </w:tcPr>
          <w:p w14:paraId="188EAE70">
            <w:r>
              <w:rPr>
                <w:sz w:val="20"/>
                <w:szCs w:val="20"/>
              </w:rPr>
              <w:t>Defines employee grades and the Component 1 / Component 2 salary split ratio per grade (e.g., 85% BPV / 15% Time Reporting). Configurable per grade, department, or designation.</w:t>
            </w:r>
          </w:p>
        </w:tc>
        <w:tc>
          <w:tcPr>
            <w:tcW w:w="2000" w:type="dxa"/>
            <w:shd w:val="clear" w:color="auto" w:fill="FFFFFF"/>
          </w:tcPr>
          <w:p w14:paraId="775ACA31">
            <w:r>
              <w:rPr>
                <w:sz w:val="20"/>
                <w:szCs w:val="20"/>
              </w:rPr>
              <w:t>HR Admin / Finance</w:t>
            </w:r>
          </w:p>
        </w:tc>
      </w:tr>
      <w:tr w14:paraId="0C441E7C">
        <w:tc>
          <w:tcPr>
            <w:tcW w:w="3500" w:type="dxa"/>
            <w:shd w:val="clear" w:color="auto" w:fill="F2F2F2"/>
          </w:tcPr>
          <w:p w14:paraId="0E9FC7B4">
            <w:r>
              <w:rPr>
                <w:sz w:val="20"/>
                <w:szCs w:val="20"/>
              </w:rPr>
              <w:t>Salary Band Master</w:t>
            </w:r>
          </w:p>
        </w:tc>
        <w:tc>
          <w:tcPr>
            <w:tcW w:w="4500" w:type="dxa"/>
            <w:shd w:val="clear" w:color="auto" w:fill="F2F2F2"/>
          </w:tcPr>
          <w:p w14:paraId="382711BC">
            <w:r>
              <w:rPr>
                <w:sz w:val="20"/>
                <w:szCs w:val="20"/>
              </w:rPr>
              <w:t>Maps BPV score ranges to salary ranges per grade. Defines the monetary value of each BPV score bracket. Currency is a configuration setting.</w:t>
            </w:r>
          </w:p>
        </w:tc>
        <w:tc>
          <w:tcPr>
            <w:tcW w:w="2000" w:type="dxa"/>
            <w:shd w:val="clear" w:color="auto" w:fill="F2F2F2"/>
          </w:tcPr>
          <w:p w14:paraId="00A37134">
            <w:r>
              <w:rPr>
                <w:sz w:val="20"/>
                <w:szCs w:val="20"/>
              </w:rPr>
              <w:t>Finance Admin</w:t>
            </w:r>
          </w:p>
        </w:tc>
      </w:tr>
      <w:tr w14:paraId="6C31B876">
        <w:tc>
          <w:tcPr>
            <w:tcW w:w="3500" w:type="dxa"/>
            <w:shd w:val="clear" w:color="auto" w:fill="FFFFFF"/>
          </w:tcPr>
          <w:p w14:paraId="5C8B4FA2">
            <w:r>
              <w:rPr>
                <w:sz w:val="20"/>
                <w:szCs w:val="20"/>
              </w:rPr>
              <w:t>Currency Config</w:t>
            </w:r>
          </w:p>
        </w:tc>
        <w:tc>
          <w:tcPr>
            <w:tcW w:w="4500" w:type="dxa"/>
            <w:shd w:val="clear" w:color="auto" w:fill="FFFFFF"/>
          </w:tcPr>
          <w:p w14:paraId="6235ED55">
            <w:r>
              <w:rPr>
                <w:sz w:val="20"/>
                <w:szCs w:val="20"/>
              </w:rPr>
              <w:t>Defines the active currency and formatting rules. Supports multi-currency for global organizations.</w:t>
            </w:r>
          </w:p>
        </w:tc>
        <w:tc>
          <w:tcPr>
            <w:tcW w:w="2000" w:type="dxa"/>
            <w:shd w:val="clear" w:color="auto" w:fill="FFFFFF"/>
          </w:tcPr>
          <w:p w14:paraId="78617FA7">
            <w:r>
              <w:rPr>
                <w:sz w:val="20"/>
                <w:szCs w:val="20"/>
              </w:rPr>
              <w:t>Finance Admin</w:t>
            </w:r>
          </w:p>
        </w:tc>
      </w:tr>
      <w:tr w14:paraId="38E3485C">
        <w:tc>
          <w:tcPr>
            <w:tcW w:w="3500" w:type="dxa"/>
            <w:shd w:val="clear" w:color="auto" w:fill="F2F2F2"/>
          </w:tcPr>
          <w:p w14:paraId="2E25A7B4">
            <w:r>
              <w:rPr>
                <w:sz w:val="20"/>
                <w:szCs w:val="20"/>
              </w:rPr>
              <w:t>Review Cycle Config</w:t>
            </w:r>
          </w:p>
        </w:tc>
        <w:tc>
          <w:tcPr>
            <w:tcW w:w="4500" w:type="dxa"/>
            <w:shd w:val="clear" w:color="auto" w:fill="F2F2F2"/>
          </w:tcPr>
          <w:p w14:paraId="6FE38935">
            <w:r>
              <w:rPr>
                <w:sz w:val="20"/>
                <w:szCs w:val="20"/>
              </w:rPr>
              <w:t>Defines how often BPV and salary components are reviewed and recalculated (monthly, quarterly, annually). Can differ by grade or department.</w:t>
            </w:r>
          </w:p>
        </w:tc>
        <w:tc>
          <w:tcPr>
            <w:tcW w:w="2000" w:type="dxa"/>
            <w:shd w:val="clear" w:color="auto" w:fill="F2F2F2"/>
          </w:tcPr>
          <w:p w14:paraId="24A578D2">
            <w:r>
              <w:rPr>
                <w:sz w:val="20"/>
                <w:szCs w:val="20"/>
              </w:rPr>
              <w:t>HR Admin</w:t>
            </w:r>
          </w:p>
        </w:tc>
      </w:tr>
    </w:tbl>
    <w:p w14:paraId="62572DD6">
      <w:pPr>
        <w:spacing w:before="200"/>
      </w:pPr>
    </w:p>
    <w:p w14:paraId="54C85BED">
      <w:pPr>
        <w:pStyle w:val="3"/>
        <w:spacing w:before="320" w:after="160"/>
      </w:pPr>
      <w:bookmarkStart w:id="12" w:name="_Toc1143393917"/>
      <w:r>
        <w:t>4.4 Efficiency Evaluation Configuration Entities</w:t>
      </w:r>
      <w:bookmarkEnd w:id="12"/>
    </w:p>
    <w:p w14:paraId="530DF20C">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54"/>
        <w:gridCol w:w="4194"/>
        <w:gridCol w:w="1912"/>
      </w:tblGrid>
      <w:tr w14:paraId="329309F2">
        <w:trPr>
          <w:tblHeader/>
        </w:trPr>
        <w:tc>
          <w:tcPr>
            <w:tcW w:w="3500" w:type="dxa"/>
            <w:shd w:val="clear" w:color="auto" w:fill="1F4E79"/>
          </w:tcPr>
          <w:p w14:paraId="5B4D9263">
            <w:r>
              <w:rPr>
                <w:b/>
                <w:bCs/>
                <w:color w:val="FFFFFF"/>
                <w:sz w:val="20"/>
                <w:szCs w:val="20"/>
              </w:rPr>
              <w:t>Config Entity / Table</w:t>
            </w:r>
          </w:p>
        </w:tc>
        <w:tc>
          <w:tcPr>
            <w:tcW w:w="4500" w:type="dxa"/>
            <w:shd w:val="clear" w:color="auto" w:fill="1F4E79"/>
          </w:tcPr>
          <w:p w14:paraId="2B64CC5B">
            <w:r>
              <w:rPr>
                <w:b/>
                <w:bCs/>
                <w:color w:val="FFFFFF"/>
                <w:sz w:val="20"/>
                <w:szCs w:val="20"/>
              </w:rPr>
              <w:t>Purpose</w:t>
            </w:r>
          </w:p>
        </w:tc>
        <w:tc>
          <w:tcPr>
            <w:tcW w:w="2000" w:type="dxa"/>
            <w:shd w:val="clear" w:color="auto" w:fill="1F4E79"/>
          </w:tcPr>
          <w:p w14:paraId="2943E3DA">
            <w:r>
              <w:rPr>
                <w:b/>
                <w:bCs/>
                <w:color w:val="FFFFFF"/>
                <w:sz w:val="20"/>
                <w:szCs w:val="20"/>
              </w:rPr>
              <w:t>Who Configures</w:t>
            </w:r>
          </w:p>
        </w:tc>
      </w:tr>
      <w:tr w14:paraId="12A43B1F">
        <w:tc>
          <w:tcPr>
            <w:tcW w:w="3500" w:type="dxa"/>
            <w:shd w:val="clear" w:color="auto" w:fill="FFFFFF"/>
          </w:tcPr>
          <w:p w14:paraId="28477137">
            <w:r>
              <w:rPr>
                <w:sz w:val="20"/>
                <w:szCs w:val="20"/>
              </w:rPr>
              <w:t>Efficiency Weight Config</w:t>
            </w:r>
          </w:p>
        </w:tc>
        <w:tc>
          <w:tcPr>
            <w:tcW w:w="4500" w:type="dxa"/>
            <w:shd w:val="clear" w:color="auto" w:fill="FFFFFF"/>
          </w:tcPr>
          <w:p w14:paraId="771B631A">
            <w:r>
              <w:rPr>
                <w:sz w:val="20"/>
                <w:szCs w:val="20"/>
              </w:rPr>
              <w:t>Stores the weight of each efficiency input factor — task completion rate, quality score, and time efficiency. Weights sum to 100% and are fully configurable.</w:t>
            </w:r>
          </w:p>
        </w:tc>
        <w:tc>
          <w:tcPr>
            <w:tcW w:w="2000" w:type="dxa"/>
            <w:shd w:val="clear" w:color="auto" w:fill="FFFFFF"/>
          </w:tcPr>
          <w:p w14:paraId="620C0D6D">
            <w:r>
              <w:rPr>
                <w:sz w:val="20"/>
                <w:szCs w:val="20"/>
              </w:rPr>
              <w:t>HR Admin</w:t>
            </w:r>
          </w:p>
        </w:tc>
      </w:tr>
      <w:tr w14:paraId="7DFD9527">
        <w:tc>
          <w:tcPr>
            <w:tcW w:w="3500" w:type="dxa"/>
            <w:shd w:val="clear" w:color="auto" w:fill="F2F2F2"/>
          </w:tcPr>
          <w:p w14:paraId="4DF9E26D">
            <w:r>
              <w:rPr>
                <w:sz w:val="20"/>
                <w:szCs w:val="20"/>
              </w:rPr>
              <w:t>Efficiency Tier Master</w:t>
            </w:r>
          </w:p>
        </w:tc>
        <w:tc>
          <w:tcPr>
            <w:tcW w:w="4500" w:type="dxa"/>
            <w:shd w:val="clear" w:color="auto" w:fill="F2F2F2"/>
          </w:tcPr>
          <w:p w14:paraId="01BE386D">
            <w:r>
              <w:rPr>
                <w:sz w:val="20"/>
                <w:szCs w:val="20"/>
              </w:rPr>
              <w:t>Maps efficiency score ranges to incentive eligibility percentages (e.g., 90–100 = 25% bonus, 75–89 = 15%, below 75 = 0%). Tiers and percentages are configurable.</w:t>
            </w:r>
          </w:p>
        </w:tc>
        <w:tc>
          <w:tcPr>
            <w:tcW w:w="2000" w:type="dxa"/>
            <w:shd w:val="clear" w:color="auto" w:fill="F2F2F2"/>
          </w:tcPr>
          <w:p w14:paraId="6A3C315A">
            <w:r>
              <w:rPr>
                <w:sz w:val="20"/>
                <w:szCs w:val="20"/>
              </w:rPr>
              <w:t>HR Admin / Finance</w:t>
            </w:r>
          </w:p>
        </w:tc>
      </w:tr>
      <w:tr w14:paraId="45F35225">
        <w:tc>
          <w:tcPr>
            <w:tcW w:w="3500" w:type="dxa"/>
            <w:shd w:val="clear" w:color="auto" w:fill="FFFFFF"/>
          </w:tcPr>
          <w:p w14:paraId="7E0ED6AC">
            <w:r>
              <w:rPr>
                <w:sz w:val="20"/>
                <w:szCs w:val="20"/>
              </w:rPr>
              <w:t>Efficiency Period Config</w:t>
            </w:r>
          </w:p>
        </w:tc>
        <w:tc>
          <w:tcPr>
            <w:tcW w:w="4500" w:type="dxa"/>
            <w:shd w:val="clear" w:color="auto" w:fill="FFFFFF"/>
          </w:tcPr>
          <w:p w14:paraId="4CC9E8CC">
            <w:r>
              <w:rPr>
                <w:sz w:val="20"/>
                <w:szCs w:val="20"/>
              </w:rPr>
              <w:t>Defines the measurement period for efficiency scoring — monthly, quarterly, or annual. Configurable per department or designation.</w:t>
            </w:r>
          </w:p>
        </w:tc>
        <w:tc>
          <w:tcPr>
            <w:tcW w:w="2000" w:type="dxa"/>
            <w:shd w:val="clear" w:color="auto" w:fill="FFFFFF"/>
          </w:tcPr>
          <w:p w14:paraId="166AA7DE">
            <w:r>
              <w:rPr>
                <w:sz w:val="20"/>
                <w:szCs w:val="20"/>
              </w:rPr>
              <w:t>HR Admin</w:t>
            </w:r>
          </w:p>
        </w:tc>
      </w:tr>
    </w:tbl>
    <w:p w14:paraId="75ECD1CB">
      <w:pPr>
        <w:spacing w:before="200"/>
      </w:pPr>
    </w:p>
    <w:p w14:paraId="0A3FC783">
      <w:pPr>
        <w:pStyle w:val="3"/>
        <w:spacing w:before="320" w:after="160"/>
      </w:pPr>
      <w:bookmarkStart w:id="13" w:name="_Toc1337889663"/>
      <w:r>
        <w:t>4.5 Data Ownership Configuration Entities</w:t>
      </w:r>
      <w:bookmarkEnd w:id="13"/>
    </w:p>
    <w:p w14:paraId="065509C8">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56"/>
        <w:gridCol w:w="4194"/>
        <w:gridCol w:w="1910"/>
      </w:tblGrid>
      <w:tr w14:paraId="360E4F3E">
        <w:trPr>
          <w:tblHeader/>
        </w:trPr>
        <w:tc>
          <w:tcPr>
            <w:tcW w:w="3500" w:type="dxa"/>
            <w:shd w:val="clear" w:color="auto" w:fill="1F4E79"/>
          </w:tcPr>
          <w:p w14:paraId="1D8EB08F">
            <w:r>
              <w:rPr>
                <w:b/>
                <w:bCs/>
                <w:color w:val="FFFFFF"/>
                <w:sz w:val="20"/>
                <w:szCs w:val="20"/>
              </w:rPr>
              <w:t>Config Entity / Table</w:t>
            </w:r>
          </w:p>
        </w:tc>
        <w:tc>
          <w:tcPr>
            <w:tcW w:w="4500" w:type="dxa"/>
            <w:shd w:val="clear" w:color="auto" w:fill="1F4E79"/>
          </w:tcPr>
          <w:p w14:paraId="2B62903C">
            <w:r>
              <w:rPr>
                <w:b/>
                <w:bCs/>
                <w:color w:val="FFFFFF"/>
                <w:sz w:val="20"/>
                <w:szCs w:val="20"/>
              </w:rPr>
              <w:t>Purpose</w:t>
            </w:r>
          </w:p>
        </w:tc>
        <w:tc>
          <w:tcPr>
            <w:tcW w:w="2000" w:type="dxa"/>
            <w:shd w:val="clear" w:color="auto" w:fill="1F4E79"/>
          </w:tcPr>
          <w:p w14:paraId="283215C2">
            <w:r>
              <w:rPr>
                <w:b/>
                <w:bCs/>
                <w:color w:val="FFFFFF"/>
                <w:sz w:val="20"/>
                <w:szCs w:val="20"/>
              </w:rPr>
              <w:t>Who Configures</w:t>
            </w:r>
          </w:p>
        </w:tc>
      </w:tr>
      <w:tr w14:paraId="4DFADD2C">
        <w:tc>
          <w:tcPr>
            <w:tcW w:w="3500" w:type="dxa"/>
            <w:shd w:val="clear" w:color="auto" w:fill="FFFFFF"/>
          </w:tcPr>
          <w:p w14:paraId="7B8329D0">
            <w:r>
              <w:rPr>
                <w:sz w:val="20"/>
                <w:szCs w:val="20"/>
              </w:rPr>
              <w:t>Asset Type Master</w:t>
            </w:r>
          </w:p>
        </w:tc>
        <w:tc>
          <w:tcPr>
            <w:tcW w:w="4500" w:type="dxa"/>
            <w:shd w:val="clear" w:color="auto" w:fill="FFFFFF"/>
          </w:tcPr>
          <w:p w14:paraId="3C0DD820">
            <w:r>
              <w:rPr>
                <w:sz w:val="20"/>
                <w:szCs w:val="20"/>
              </w:rPr>
              <w:t>Defines all recognized digital asset categories (source code, documents, dashboards, AI prompts, architecture docs, etc.). New types are added by HR/IT as needed.</w:t>
            </w:r>
          </w:p>
        </w:tc>
        <w:tc>
          <w:tcPr>
            <w:tcW w:w="2000" w:type="dxa"/>
            <w:shd w:val="clear" w:color="auto" w:fill="FFFFFF"/>
          </w:tcPr>
          <w:p w14:paraId="55AE8C02">
            <w:r>
              <w:rPr>
                <w:sz w:val="20"/>
                <w:szCs w:val="20"/>
              </w:rPr>
              <w:t>HR Admin / IT</w:t>
            </w:r>
          </w:p>
        </w:tc>
      </w:tr>
      <w:tr w14:paraId="16B64130">
        <w:tc>
          <w:tcPr>
            <w:tcW w:w="3500" w:type="dxa"/>
            <w:shd w:val="clear" w:color="auto" w:fill="F2F2F2"/>
          </w:tcPr>
          <w:p w14:paraId="69ABAAE0">
            <w:r>
              <w:rPr>
                <w:sz w:val="20"/>
                <w:szCs w:val="20"/>
              </w:rPr>
              <w:t>Asset Status Master</w:t>
            </w:r>
          </w:p>
        </w:tc>
        <w:tc>
          <w:tcPr>
            <w:tcW w:w="4500" w:type="dxa"/>
            <w:shd w:val="clear" w:color="auto" w:fill="F2F2F2"/>
          </w:tcPr>
          <w:p w14:paraId="07E9E02A">
            <w:r>
              <w:rPr>
                <w:sz w:val="20"/>
                <w:szCs w:val="20"/>
              </w:rPr>
              <w:t>Defines valid lifecycle statuses for assets (Active, Under Review, Archived, Deprecated). Configurable.</w:t>
            </w:r>
          </w:p>
        </w:tc>
        <w:tc>
          <w:tcPr>
            <w:tcW w:w="2000" w:type="dxa"/>
            <w:shd w:val="clear" w:color="auto" w:fill="F2F2F2"/>
          </w:tcPr>
          <w:p w14:paraId="732DEA54">
            <w:r>
              <w:rPr>
                <w:sz w:val="20"/>
                <w:szCs w:val="20"/>
              </w:rPr>
              <w:t>HR Admin</w:t>
            </w:r>
          </w:p>
        </w:tc>
      </w:tr>
      <w:tr w14:paraId="73932A0E">
        <w:tc>
          <w:tcPr>
            <w:tcW w:w="3500" w:type="dxa"/>
            <w:shd w:val="clear" w:color="auto" w:fill="FFFFFF"/>
          </w:tcPr>
          <w:p w14:paraId="11FB8C28">
            <w:r>
              <w:rPr>
                <w:sz w:val="20"/>
                <w:szCs w:val="20"/>
              </w:rPr>
              <w:t>Ownership Role Master</w:t>
            </w:r>
          </w:p>
        </w:tc>
        <w:tc>
          <w:tcPr>
            <w:tcW w:w="4500" w:type="dxa"/>
            <w:shd w:val="clear" w:color="auto" w:fill="FFFFFF"/>
          </w:tcPr>
          <w:p w14:paraId="07A73BFF">
            <w:r>
              <w:rPr>
                <w:sz w:val="20"/>
                <w:szCs w:val="20"/>
              </w:rPr>
              <w:t>Defines ownership roles that can be assigned to an asset (Creator, Contributor, Reviewer, Approver, Owner). Roles and their responsibilities are configurable.</w:t>
            </w:r>
          </w:p>
        </w:tc>
        <w:tc>
          <w:tcPr>
            <w:tcW w:w="2000" w:type="dxa"/>
            <w:shd w:val="clear" w:color="auto" w:fill="FFFFFF"/>
          </w:tcPr>
          <w:p w14:paraId="6E1F2CFC">
            <w:r>
              <w:rPr>
                <w:sz w:val="20"/>
                <w:szCs w:val="20"/>
              </w:rPr>
              <w:t>HR Admin</w:t>
            </w:r>
          </w:p>
        </w:tc>
      </w:tr>
    </w:tbl>
    <w:p w14:paraId="542A32F2">
      <w:pPr>
        <w:spacing w:before="200"/>
      </w:pPr>
    </w:p>
    <w:p w14:paraId="4A8C426B">
      <w:pPr>
        <w:pStyle w:val="3"/>
        <w:spacing w:before="320" w:after="160"/>
      </w:pPr>
      <w:bookmarkStart w:id="14" w:name="_Toc1757781951"/>
      <w:r>
        <w:t>4.6 Documentation Compliance Configuration Entities</w:t>
      </w:r>
      <w:bookmarkEnd w:id="14"/>
    </w:p>
    <w:p w14:paraId="2F63EFD9">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78"/>
        <w:gridCol w:w="4180"/>
        <w:gridCol w:w="1902"/>
      </w:tblGrid>
      <w:tr w14:paraId="58B3ACC1">
        <w:trPr>
          <w:tblHeader/>
        </w:trPr>
        <w:tc>
          <w:tcPr>
            <w:tcW w:w="3500" w:type="dxa"/>
            <w:shd w:val="clear" w:color="auto" w:fill="1F4E79"/>
          </w:tcPr>
          <w:p w14:paraId="4F0AF4F4">
            <w:r>
              <w:rPr>
                <w:b/>
                <w:bCs/>
                <w:color w:val="FFFFFF"/>
                <w:sz w:val="20"/>
                <w:szCs w:val="20"/>
              </w:rPr>
              <w:t>Config Entity / Table</w:t>
            </w:r>
          </w:p>
        </w:tc>
        <w:tc>
          <w:tcPr>
            <w:tcW w:w="4500" w:type="dxa"/>
            <w:shd w:val="clear" w:color="auto" w:fill="1F4E79"/>
          </w:tcPr>
          <w:p w14:paraId="7AA5A801">
            <w:r>
              <w:rPr>
                <w:b/>
                <w:bCs/>
                <w:color w:val="FFFFFF"/>
                <w:sz w:val="20"/>
                <w:szCs w:val="20"/>
              </w:rPr>
              <w:t>Purpose</w:t>
            </w:r>
          </w:p>
        </w:tc>
        <w:tc>
          <w:tcPr>
            <w:tcW w:w="2000" w:type="dxa"/>
            <w:shd w:val="clear" w:color="auto" w:fill="1F4E79"/>
          </w:tcPr>
          <w:p w14:paraId="1B237F9E">
            <w:r>
              <w:rPr>
                <w:b/>
                <w:bCs/>
                <w:color w:val="FFFFFF"/>
                <w:sz w:val="20"/>
                <w:szCs w:val="20"/>
              </w:rPr>
              <w:t>Who Configures</w:t>
            </w:r>
          </w:p>
        </w:tc>
      </w:tr>
      <w:tr w14:paraId="4B0FF6D1">
        <w:tc>
          <w:tcPr>
            <w:tcW w:w="3500" w:type="dxa"/>
            <w:shd w:val="clear" w:color="auto" w:fill="FFFFFF"/>
          </w:tcPr>
          <w:p w14:paraId="0C585E47">
            <w:r>
              <w:rPr>
                <w:sz w:val="20"/>
                <w:szCs w:val="20"/>
              </w:rPr>
              <w:t>Documentation Type Master</w:t>
            </w:r>
          </w:p>
        </w:tc>
        <w:tc>
          <w:tcPr>
            <w:tcW w:w="4500" w:type="dxa"/>
            <w:shd w:val="clear" w:color="auto" w:fill="FFFFFF"/>
          </w:tcPr>
          <w:p w14:paraId="30CED25B">
            <w:r>
              <w:rPr>
                <w:sz w:val="20"/>
                <w:szCs w:val="20"/>
              </w:rPr>
              <w:t>Defines recognized documentation types (Implementation Guide, User Guide, Maintenance Instructions, Dependencies, Version History, etc.). New types can be added.</w:t>
            </w:r>
          </w:p>
        </w:tc>
        <w:tc>
          <w:tcPr>
            <w:tcW w:w="2000" w:type="dxa"/>
            <w:shd w:val="clear" w:color="auto" w:fill="FFFFFF"/>
          </w:tcPr>
          <w:p w14:paraId="768B23FC">
            <w:r>
              <w:rPr>
                <w:sz w:val="20"/>
                <w:szCs w:val="20"/>
              </w:rPr>
              <w:t>HR Admin / IT</w:t>
            </w:r>
          </w:p>
        </w:tc>
      </w:tr>
      <w:tr w14:paraId="1E8078DE">
        <w:tc>
          <w:tcPr>
            <w:tcW w:w="3500" w:type="dxa"/>
            <w:shd w:val="clear" w:color="auto" w:fill="F2F2F2"/>
          </w:tcPr>
          <w:p w14:paraId="3B7B9B6A">
            <w:r>
              <w:rPr>
                <w:sz w:val="20"/>
                <w:szCs w:val="20"/>
              </w:rPr>
              <w:t>Doc Requirement Config</w:t>
            </w:r>
          </w:p>
        </w:tc>
        <w:tc>
          <w:tcPr>
            <w:tcW w:w="4500" w:type="dxa"/>
            <w:shd w:val="clear" w:color="auto" w:fill="F2F2F2"/>
          </w:tcPr>
          <w:p w14:paraId="7D2675CE">
            <w:r>
              <w:rPr>
                <w:sz w:val="20"/>
                <w:szCs w:val="20"/>
              </w:rPr>
              <w:t>Maps required documentation types to each asset category. Different asset types can have different required documentation checklists.</w:t>
            </w:r>
          </w:p>
        </w:tc>
        <w:tc>
          <w:tcPr>
            <w:tcW w:w="2000" w:type="dxa"/>
            <w:shd w:val="clear" w:color="auto" w:fill="F2F2F2"/>
          </w:tcPr>
          <w:p w14:paraId="3CA33FCB">
            <w:r>
              <w:rPr>
                <w:sz w:val="20"/>
                <w:szCs w:val="20"/>
              </w:rPr>
              <w:t>HR Admin / IT</w:t>
            </w:r>
          </w:p>
        </w:tc>
      </w:tr>
      <w:tr w14:paraId="619B4498">
        <w:tc>
          <w:tcPr>
            <w:tcW w:w="3500" w:type="dxa"/>
            <w:shd w:val="clear" w:color="auto" w:fill="FFFFFF"/>
          </w:tcPr>
          <w:p w14:paraId="4C83DD93">
            <w:r>
              <w:rPr>
                <w:sz w:val="20"/>
                <w:szCs w:val="20"/>
              </w:rPr>
              <w:t>Compliance Threshold Config</w:t>
            </w:r>
          </w:p>
        </w:tc>
        <w:tc>
          <w:tcPr>
            <w:tcW w:w="4500" w:type="dxa"/>
            <w:shd w:val="clear" w:color="auto" w:fill="FFFFFF"/>
          </w:tcPr>
          <w:p w14:paraId="4E0A00C2">
            <w:r>
              <w:rPr>
                <w:sz w:val="20"/>
                <w:szCs w:val="20"/>
              </w:rPr>
              <w:t>Defines the minimum documentation compliance score (%) before an asset is flagged as non-compliant. Configurable per asset type or department.</w:t>
            </w:r>
          </w:p>
        </w:tc>
        <w:tc>
          <w:tcPr>
            <w:tcW w:w="2000" w:type="dxa"/>
            <w:shd w:val="clear" w:color="auto" w:fill="FFFFFF"/>
          </w:tcPr>
          <w:p w14:paraId="1C843DFB">
            <w:r>
              <w:rPr>
                <w:sz w:val="20"/>
                <w:szCs w:val="20"/>
              </w:rPr>
              <w:t>HR Admin</w:t>
            </w:r>
          </w:p>
        </w:tc>
      </w:tr>
      <w:tr w14:paraId="7C2C084E">
        <w:tc>
          <w:tcPr>
            <w:tcW w:w="3500" w:type="dxa"/>
            <w:shd w:val="clear" w:color="auto" w:fill="F2F2F2"/>
          </w:tcPr>
          <w:p w14:paraId="64B7E9C6">
            <w:r>
              <w:rPr>
                <w:sz w:val="20"/>
                <w:szCs w:val="20"/>
              </w:rPr>
              <w:t>Non-Compliance Action Config</w:t>
            </w:r>
          </w:p>
        </w:tc>
        <w:tc>
          <w:tcPr>
            <w:tcW w:w="4500" w:type="dxa"/>
            <w:shd w:val="clear" w:color="auto" w:fill="F2F2F2"/>
          </w:tcPr>
          <w:p w14:paraId="0EBBB88C">
            <w:r>
              <w:rPr>
                <w:sz w:val="20"/>
                <w:szCs w:val="20"/>
              </w:rPr>
              <w:t>Defines the consequence of non-compliance — flag only, block deployment, affect efficiency score, notify manager. Actions are configurable.</w:t>
            </w:r>
          </w:p>
        </w:tc>
        <w:tc>
          <w:tcPr>
            <w:tcW w:w="2000" w:type="dxa"/>
            <w:shd w:val="clear" w:color="auto" w:fill="F2F2F2"/>
          </w:tcPr>
          <w:p w14:paraId="0D0416AA">
            <w:r>
              <w:rPr>
                <w:sz w:val="20"/>
                <w:szCs w:val="20"/>
              </w:rPr>
              <w:t>HR Admin</w:t>
            </w:r>
          </w:p>
        </w:tc>
      </w:tr>
    </w:tbl>
    <w:p w14:paraId="45799E2A">
      <w:pPr>
        <w:spacing w:before="200"/>
      </w:pPr>
    </w:p>
    <w:p w14:paraId="768A7AF7">
      <w:pPr>
        <w:pStyle w:val="3"/>
        <w:spacing w:before="320" w:after="160"/>
      </w:pPr>
      <w:bookmarkStart w:id="15" w:name="_Toc108718678"/>
      <w:r>
        <w:t>4.7 Reward and Royalty Configuration Entities</w:t>
      </w:r>
      <w:bookmarkEnd w:id="15"/>
    </w:p>
    <w:p w14:paraId="7EC23388">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63"/>
        <w:gridCol w:w="4190"/>
        <w:gridCol w:w="1907"/>
      </w:tblGrid>
      <w:tr w14:paraId="57F4AF8B">
        <w:trPr>
          <w:tblHeader/>
        </w:trPr>
        <w:tc>
          <w:tcPr>
            <w:tcW w:w="3500" w:type="dxa"/>
            <w:shd w:val="clear" w:color="auto" w:fill="1F4E79"/>
          </w:tcPr>
          <w:p w14:paraId="082E43A8">
            <w:r>
              <w:rPr>
                <w:b/>
                <w:bCs/>
                <w:color w:val="FFFFFF"/>
                <w:sz w:val="20"/>
                <w:szCs w:val="20"/>
              </w:rPr>
              <w:t>Config Entity / Table</w:t>
            </w:r>
          </w:p>
        </w:tc>
        <w:tc>
          <w:tcPr>
            <w:tcW w:w="4500" w:type="dxa"/>
            <w:shd w:val="clear" w:color="auto" w:fill="1F4E79"/>
          </w:tcPr>
          <w:p w14:paraId="27CFA09B">
            <w:r>
              <w:rPr>
                <w:b/>
                <w:bCs/>
                <w:color w:val="FFFFFF"/>
                <w:sz w:val="20"/>
                <w:szCs w:val="20"/>
              </w:rPr>
              <w:t>Purpose</w:t>
            </w:r>
          </w:p>
        </w:tc>
        <w:tc>
          <w:tcPr>
            <w:tcW w:w="2000" w:type="dxa"/>
            <w:shd w:val="clear" w:color="auto" w:fill="1F4E79"/>
          </w:tcPr>
          <w:p w14:paraId="343DE1B0">
            <w:r>
              <w:rPr>
                <w:b/>
                <w:bCs/>
                <w:color w:val="FFFFFF"/>
                <w:sz w:val="20"/>
                <w:szCs w:val="20"/>
              </w:rPr>
              <w:t>Who Configures</w:t>
            </w:r>
          </w:p>
        </w:tc>
      </w:tr>
      <w:tr w14:paraId="0A4C1E25">
        <w:tc>
          <w:tcPr>
            <w:tcW w:w="3500" w:type="dxa"/>
            <w:shd w:val="clear" w:color="auto" w:fill="FFFFFF"/>
          </w:tcPr>
          <w:p w14:paraId="446D1953">
            <w:r>
              <w:rPr>
                <w:sz w:val="20"/>
                <w:szCs w:val="20"/>
              </w:rPr>
              <w:t>Reward Type Master</w:t>
            </w:r>
          </w:p>
        </w:tc>
        <w:tc>
          <w:tcPr>
            <w:tcW w:w="4500" w:type="dxa"/>
            <w:shd w:val="clear" w:color="auto" w:fill="FFFFFF"/>
          </w:tcPr>
          <w:p w14:paraId="248A41ED">
            <w:r>
              <w:rPr>
                <w:sz w:val="20"/>
                <w:szCs w:val="20"/>
              </w:rPr>
              <w:t>Defines available reward types — annual bonus, innovation incentive, profit sharing, royalty, long-term recognition. New reward types can be added.</w:t>
            </w:r>
          </w:p>
        </w:tc>
        <w:tc>
          <w:tcPr>
            <w:tcW w:w="2000" w:type="dxa"/>
            <w:shd w:val="clear" w:color="auto" w:fill="FFFFFF"/>
          </w:tcPr>
          <w:p w14:paraId="4195F14A">
            <w:r>
              <w:rPr>
                <w:sz w:val="20"/>
                <w:szCs w:val="20"/>
              </w:rPr>
              <w:t>HR Admin / Finance</w:t>
            </w:r>
          </w:p>
        </w:tc>
      </w:tr>
      <w:tr w14:paraId="644CCAE2">
        <w:tc>
          <w:tcPr>
            <w:tcW w:w="3500" w:type="dxa"/>
            <w:shd w:val="clear" w:color="auto" w:fill="F2F2F2"/>
          </w:tcPr>
          <w:p w14:paraId="33B78576">
            <w:r>
              <w:rPr>
                <w:sz w:val="20"/>
                <w:szCs w:val="20"/>
              </w:rPr>
              <w:t>Reward Basis Master</w:t>
            </w:r>
          </w:p>
        </w:tc>
        <w:tc>
          <w:tcPr>
            <w:tcW w:w="4500" w:type="dxa"/>
            <w:shd w:val="clear" w:color="auto" w:fill="F2F2F2"/>
          </w:tcPr>
          <w:p w14:paraId="00FFFBCD">
            <w:r>
              <w:rPr>
                <w:sz w:val="20"/>
                <w:szCs w:val="20"/>
              </w:rPr>
              <w:t>Defines which value metrics can be used to justify a reward — revenue generated, cost savings, productivity improvement, IP value, strategic impact, customer adoption.</w:t>
            </w:r>
          </w:p>
        </w:tc>
        <w:tc>
          <w:tcPr>
            <w:tcW w:w="2000" w:type="dxa"/>
            <w:shd w:val="clear" w:color="auto" w:fill="F2F2F2"/>
          </w:tcPr>
          <w:p w14:paraId="13E90D35">
            <w:r>
              <w:rPr>
                <w:sz w:val="20"/>
                <w:szCs w:val="20"/>
              </w:rPr>
              <w:t>Finance Admin</w:t>
            </w:r>
          </w:p>
        </w:tc>
      </w:tr>
      <w:tr w14:paraId="3E07EFBC">
        <w:tc>
          <w:tcPr>
            <w:tcW w:w="3500" w:type="dxa"/>
            <w:shd w:val="clear" w:color="auto" w:fill="FFFFFF"/>
          </w:tcPr>
          <w:p w14:paraId="49DD7824">
            <w:r>
              <w:rPr>
                <w:sz w:val="20"/>
                <w:szCs w:val="20"/>
              </w:rPr>
              <w:t>Reward Formula Config</w:t>
            </w:r>
          </w:p>
        </w:tc>
        <w:tc>
          <w:tcPr>
            <w:tcW w:w="4500" w:type="dxa"/>
            <w:shd w:val="clear" w:color="auto" w:fill="FFFFFF"/>
          </w:tcPr>
          <w:p w14:paraId="79828EB1">
            <w:r>
              <w:rPr>
                <w:sz w:val="20"/>
                <w:szCs w:val="20"/>
              </w:rPr>
              <w:t>Stores the calculation formula and parameters for each reward type. Fully configurable by Finance without code changes.</w:t>
            </w:r>
          </w:p>
        </w:tc>
        <w:tc>
          <w:tcPr>
            <w:tcW w:w="2000" w:type="dxa"/>
            <w:shd w:val="clear" w:color="auto" w:fill="FFFFFF"/>
          </w:tcPr>
          <w:p w14:paraId="0000809F">
            <w:r>
              <w:rPr>
                <w:sz w:val="20"/>
                <w:szCs w:val="20"/>
              </w:rPr>
              <w:t>Finance Admin</w:t>
            </w:r>
          </w:p>
        </w:tc>
      </w:tr>
      <w:tr w14:paraId="7BCFB93C">
        <w:tc>
          <w:tcPr>
            <w:tcW w:w="3500" w:type="dxa"/>
            <w:shd w:val="clear" w:color="auto" w:fill="F2F2F2"/>
          </w:tcPr>
          <w:p w14:paraId="47F431DE">
            <w:r>
              <w:rPr>
                <w:sz w:val="20"/>
                <w:szCs w:val="20"/>
              </w:rPr>
              <w:t>Reward Period Config</w:t>
            </w:r>
          </w:p>
        </w:tc>
        <w:tc>
          <w:tcPr>
            <w:tcW w:w="4500" w:type="dxa"/>
            <w:shd w:val="clear" w:color="auto" w:fill="F2F2F2"/>
          </w:tcPr>
          <w:p w14:paraId="6DEEE814">
            <w:r>
              <w:rPr>
                <w:sz w:val="20"/>
                <w:szCs w:val="20"/>
              </w:rPr>
              <w:t>Defines when rewards are assessed and paid — annual, quarterly, milestone-based, or on-demand. Configurable per reward type.</w:t>
            </w:r>
          </w:p>
        </w:tc>
        <w:tc>
          <w:tcPr>
            <w:tcW w:w="2000" w:type="dxa"/>
            <w:shd w:val="clear" w:color="auto" w:fill="F2F2F2"/>
          </w:tcPr>
          <w:p w14:paraId="16BE4DC6">
            <w:r>
              <w:rPr>
                <w:sz w:val="20"/>
                <w:szCs w:val="20"/>
              </w:rPr>
              <w:t>Finance Admin</w:t>
            </w:r>
          </w:p>
        </w:tc>
      </w:tr>
      <w:tr w14:paraId="20384B51">
        <w:tc>
          <w:tcPr>
            <w:tcW w:w="3500" w:type="dxa"/>
            <w:shd w:val="clear" w:color="auto" w:fill="FFFFFF"/>
          </w:tcPr>
          <w:p w14:paraId="752BC617">
            <w:r>
              <w:rPr>
                <w:sz w:val="20"/>
                <w:szCs w:val="20"/>
              </w:rPr>
              <w:t>Reward Contribution Config</w:t>
            </w:r>
          </w:p>
        </w:tc>
        <w:tc>
          <w:tcPr>
            <w:tcW w:w="4500" w:type="dxa"/>
            <w:shd w:val="clear" w:color="auto" w:fill="FFFFFF"/>
          </w:tcPr>
          <w:p w14:paraId="3B7B97FA">
            <w:r>
              <w:rPr>
                <w:sz w:val="20"/>
                <w:szCs w:val="20"/>
              </w:rPr>
              <w:t>Defines how rewards are split among Creator and Contributors when multiple employees own an asset. Split method is configurable (equal, by contribution %, by manager discretion).</w:t>
            </w:r>
          </w:p>
        </w:tc>
        <w:tc>
          <w:tcPr>
            <w:tcW w:w="2000" w:type="dxa"/>
            <w:shd w:val="clear" w:color="auto" w:fill="FFFFFF"/>
          </w:tcPr>
          <w:p w14:paraId="326A9733">
            <w:r>
              <w:rPr>
                <w:sz w:val="20"/>
                <w:szCs w:val="20"/>
              </w:rPr>
              <w:t>Finance Admin</w:t>
            </w:r>
          </w:p>
        </w:tc>
      </w:tr>
      <w:tr w14:paraId="456A06B1">
        <w:tc>
          <w:tcPr>
            <w:tcW w:w="3500" w:type="dxa"/>
            <w:shd w:val="clear" w:color="auto" w:fill="F2F2F2"/>
          </w:tcPr>
          <w:p w14:paraId="10FCE189">
            <w:r>
              <w:rPr>
                <w:sz w:val="20"/>
                <w:szCs w:val="20"/>
              </w:rPr>
              <w:t>Reward Cap Config</w:t>
            </w:r>
          </w:p>
        </w:tc>
        <w:tc>
          <w:tcPr>
            <w:tcW w:w="4500" w:type="dxa"/>
            <w:shd w:val="clear" w:color="auto" w:fill="F2F2F2"/>
          </w:tcPr>
          <w:p w14:paraId="4E7683DC">
            <w:r>
              <w:rPr>
                <w:sz w:val="20"/>
                <w:szCs w:val="20"/>
              </w:rPr>
              <w:t>Sets maximum reward amounts per employee per period. Optional ceiling configurable per grade or reward type.</w:t>
            </w:r>
          </w:p>
        </w:tc>
        <w:tc>
          <w:tcPr>
            <w:tcW w:w="2000" w:type="dxa"/>
            <w:shd w:val="clear" w:color="auto" w:fill="F2F2F2"/>
          </w:tcPr>
          <w:p w14:paraId="3CE4A204">
            <w:r>
              <w:rPr>
                <w:sz w:val="20"/>
                <w:szCs w:val="20"/>
              </w:rPr>
              <w:t>Finance Admin</w:t>
            </w:r>
          </w:p>
        </w:tc>
      </w:tr>
    </w:tbl>
    <w:p w14:paraId="29B0E1B9">
      <w:pPr>
        <w:spacing w:before="200"/>
      </w:pPr>
    </w:p>
    <w:p w14:paraId="59C1C3B7">
      <w:pPr>
        <w:pStyle w:val="3"/>
        <w:spacing w:before="320" w:after="160"/>
      </w:pPr>
      <w:bookmarkStart w:id="16" w:name="_Toc1873721196"/>
      <w:r>
        <w:t>4.8 Beneficiary Configuration Entities</w:t>
      </w:r>
      <w:bookmarkEnd w:id="16"/>
    </w:p>
    <w:p w14:paraId="0E624DB1">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63"/>
        <w:gridCol w:w="4187"/>
        <w:gridCol w:w="1910"/>
      </w:tblGrid>
      <w:tr w14:paraId="337F4FEF">
        <w:trPr>
          <w:tblHeader/>
        </w:trPr>
        <w:tc>
          <w:tcPr>
            <w:tcW w:w="3500" w:type="dxa"/>
            <w:shd w:val="clear" w:color="auto" w:fill="1F4E79"/>
          </w:tcPr>
          <w:p w14:paraId="275F39E8">
            <w:r>
              <w:rPr>
                <w:b/>
                <w:bCs/>
                <w:color w:val="FFFFFF"/>
                <w:sz w:val="20"/>
                <w:szCs w:val="20"/>
              </w:rPr>
              <w:t>Config Entity / Table</w:t>
            </w:r>
          </w:p>
        </w:tc>
        <w:tc>
          <w:tcPr>
            <w:tcW w:w="4500" w:type="dxa"/>
            <w:shd w:val="clear" w:color="auto" w:fill="1F4E79"/>
          </w:tcPr>
          <w:p w14:paraId="10391493">
            <w:r>
              <w:rPr>
                <w:b/>
                <w:bCs/>
                <w:color w:val="FFFFFF"/>
                <w:sz w:val="20"/>
                <w:szCs w:val="20"/>
              </w:rPr>
              <w:t>Purpose</w:t>
            </w:r>
          </w:p>
        </w:tc>
        <w:tc>
          <w:tcPr>
            <w:tcW w:w="2000" w:type="dxa"/>
            <w:shd w:val="clear" w:color="auto" w:fill="1F4E79"/>
          </w:tcPr>
          <w:p w14:paraId="3B491FB6">
            <w:r>
              <w:rPr>
                <w:b/>
                <w:bCs/>
                <w:color w:val="FFFFFF"/>
                <w:sz w:val="20"/>
                <w:szCs w:val="20"/>
              </w:rPr>
              <w:t>Who Configures</w:t>
            </w:r>
          </w:p>
        </w:tc>
      </w:tr>
      <w:tr w14:paraId="036823F6">
        <w:tc>
          <w:tcPr>
            <w:tcW w:w="3500" w:type="dxa"/>
            <w:shd w:val="clear" w:color="auto" w:fill="FFFFFF"/>
          </w:tcPr>
          <w:p w14:paraId="756C3636">
            <w:r>
              <w:rPr>
                <w:sz w:val="20"/>
                <w:szCs w:val="20"/>
              </w:rPr>
              <w:t>Beneficiary Type Master</w:t>
            </w:r>
          </w:p>
        </w:tc>
        <w:tc>
          <w:tcPr>
            <w:tcW w:w="4500" w:type="dxa"/>
            <w:shd w:val="clear" w:color="auto" w:fill="FFFFFF"/>
          </w:tcPr>
          <w:p w14:paraId="2027C2BD">
            <w:r>
              <w:rPr>
                <w:sz w:val="20"/>
                <w:szCs w:val="20"/>
              </w:rPr>
              <w:t>Defines all valid beneficiary categories (spouse, children, legal heirs, NGOs, trusts, educational institutions, etc.). Configurable per organizational policy and jurisdiction.</w:t>
            </w:r>
          </w:p>
        </w:tc>
        <w:tc>
          <w:tcPr>
            <w:tcW w:w="2000" w:type="dxa"/>
            <w:shd w:val="clear" w:color="auto" w:fill="FFFFFF"/>
          </w:tcPr>
          <w:p w14:paraId="404B8675">
            <w:r>
              <w:rPr>
                <w:sz w:val="20"/>
                <w:szCs w:val="20"/>
              </w:rPr>
              <w:t>HR Admin</w:t>
            </w:r>
          </w:p>
        </w:tc>
      </w:tr>
      <w:tr w14:paraId="7C107571">
        <w:tc>
          <w:tcPr>
            <w:tcW w:w="3500" w:type="dxa"/>
            <w:shd w:val="clear" w:color="auto" w:fill="F2F2F2"/>
          </w:tcPr>
          <w:p w14:paraId="4C050364">
            <w:r>
              <w:rPr>
                <w:sz w:val="20"/>
                <w:szCs w:val="20"/>
              </w:rPr>
              <w:t>Beneficiary Doc Config</w:t>
            </w:r>
          </w:p>
        </w:tc>
        <w:tc>
          <w:tcPr>
            <w:tcW w:w="4500" w:type="dxa"/>
            <w:shd w:val="clear" w:color="auto" w:fill="F2F2F2"/>
          </w:tcPr>
          <w:p w14:paraId="7208F9B7">
            <w:r>
              <w:rPr>
                <w:sz w:val="20"/>
                <w:szCs w:val="20"/>
              </w:rPr>
              <w:t>Defines what proof documents are required per beneficiary type (ID proof, relationship proof, legal declaration, etc.). Configurable.</w:t>
            </w:r>
          </w:p>
        </w:tc>
        <w:tc>
          <w:tcPr>
            <w:tcW w:w="2000" w:type="dxa"/>
            <w:shd w:val="clear" w:color="auto" w:fill="F2F2F2"/>
          </w:tcPr>
          <w:p w14:paraId="6655015F">
            <w:r>
              <w:rPr>
                <w:sz w:val="20"/>
                <w:szCs w:val="20"/>
              </w:rPr>
              <w:t>HR Admin / Legal</w:t>
            </w:r>
          </w:p>
        </w:tc>
      </w:tr>
      <w:tr w14:paraId="71105FAB">
        <w:tc>
          <w:tcPr>
            <w:tcW w:w="3500" w:type="dxa"/>
            <w:shd w:val="clear" w:color="auto" w:fill="FFFFFF"/>
          </w:tcPr>
          <w:p w14:paraId="2E080749">
            <w:r>
              <w:rPr>
                <w:sz w:val="20"/>
                <w:szCs w:val="20"/>
              </w:rPr>
              <w:t>Jurisdiction Config</w:t>
            </w:r>
          </w:p>
        </w:tc>
        <w:tc>
          <w:tcPr>
            <w:tcW w:w="4500" w:type="dxa"/>
            <w:shd w:val="clear" w:color="auto" w:fill="FFFFFF"/>
          </w:tcPr>
          <w:p w14:paraId="27653865">
            <w:r>
              <w:rPr>
                <w:sz w:val="20"/>
                <w:szCs w:val="20"/>
              </w:rPr>
              <w:t>Defines applicable legal jurisdictions for reward payouts. Supports multi-jurisdiction for global organizations.</w:t>
            </w:r>
          </w:p>
        </w:tc>
        <w:tc>
          <w:tcPr>
            <w:tcW w:w="2000" w:type="dxa"/>
            <w:shd w:val="clear" w:color="auto" w:fill="FFFFFF"/>
          </w:tcPr>
          <w:p w14:paraId="06D25A09">
            <w:r>
              <w:rPr>
                <w:sz w:val="20"/>
                <w:szCs w:val="20"/>
              </w:rPr>
              <w:t>HR Admin / Legal</w:t>
            </w:r>
          </w:p>
        </w:tc>
      </w:tr>
    </w:tbl>
    <w:p w14:paraId="6BC00865">
      <w:pPr>
        <w:spacing w:before="200"/>
      </w:pPr>
    </w:p>
    <w:p w14:paraId="70BB322D">
      <w:pPr>
        <w:pStyle w:val="3"/>
        <w:spacing w:before="320" w:after="160"/>
      </w:pPr>
      <w:bookmarkStart w:id="17" w:name="_Toc931941564"/>
      <w:r>
        <w:t>4.9 System-Level Configuration Entities</w:t>
      </w:r>
      <w:bookmarkEnd w:id="17"/>
    </w:p>
    <w:p w14:paraId="1E58779C">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67"/>
        <w:gridCol w:w="4183"/>
        <w:gridCol w:w="1910"/>
      </w:tblGrid>
      <w:tr w14:paraId="54C76D30">
        <w:trPr>
          <w:tblHeader/>
        </w:trPr>
        <w:tc>
          <w:tcPr>
            <w:tcW w:w="3500" w:type="dxa"/>
            <w:shd w:val="clear" w:color="auto" w:fill="1F4E79"/>
          </w:tcPr>
          <w:p w14:paraId="1272EE32">
            <w:r>
              <w:rPr>
                <w:b/>
                <w:bCs/>
                <w:color w:val="FFFFFF"/>
                <w:sz w:val="20"/>
                <w:szCs w:val="20"/>
              </w:rPr>
              <w:t>Config Entity / Table</w:t>
            </w:r>
          </w:p>
        </w:tc>
        <w:tc>
          <w:tcPr>
            <w:tcW w:w="4500" w:type="dxa"/>
            <w:shd w:val="clear" w:color="auto" w:fill="1F4E79"/>
          </w:tcPr>
          <w:p w14:paraId="6CCA3F99">
            <w:r>
              <w:rPr>
                <w:b/>
                <w:bCs/>
                <w:color w:val="FFFFFF"/>
                <w:sz w:val="20"/>
                <w:szCs w:val="20"/>
              </w:rPr>
              <w:t>Purpose</w:t>
            </w:r>
          </w:p>
        </w:tc>
        <w:tc>
          <w:tcPr>
            <w:tcW w:w="2000" w:type="dxa"/>
            <w:shd w:val="clear" w:color="auto" w:fill="1F4E79"/>
          </w:tcPr>
          <w:p w14:paraId="238958E2">
            <w:r>
              <w:rPr>
                <w:b/>
                <w:bCs/>
                <w:color w:val="FFFFFF"/>
                <w:sz w:val="20"/>
                <w:szCs w:val="20"/>
              </w:rPr>
              <w:t>Who Configures</w:t>
            </w:r>
          </w:p>
        </w:tc>
      </w:tr>
      <w:tr w14:paraId="3B151A4C">
        <w:tc>
          <w:tcPr>
            <w:tcW w:w="3500" w:type="dxa"/>
            <w:shd w:val="clear" w:color="auto" w:fill="FFFFFF"/>
          </w:tcPr>
          <w:p w14:paraId="27DF663A">
            <w:r>
              <w:rPr>
                <w:sz w:val="20"/>
                <w:szCs w:val="20"/>
              </w:rPr>
              <w:t>Role Master</w:t>
            </w:r>
          </w:p>
        </w:tc>
        <w:tc>
          <w:tcPr>
            <w:tcW w:w="4500" w:type="dxa"/>
            <w:shd w:val="clear" w:color="auto" w:fill="FFFFFF"/>
          </w:tcPr>
          <w:p w14:paraId="48DE1EEF">
            <w:r>
              <w:rPr>
                <w:sz w:val="20"/>
                <w:szCs w:val="20"/>
              </w:rPr>
              <w:t>Defines system roles and their display names (Employee, Manager, HR Admin, Finance Admin, System Admin).</w:t>
            </w:r>
          </w:p>
        </w:tc>
        <w:tc>
          <w:tcPr>
            <w:tcW w:w="2000" w:type="dxa"/>
            <w:shd w:val="clear" w:color="auto" w:fill="FFFFFF"/>
          </w:tcPr>
          <w:p w14:paraId="364F40B2">
            <w:r>
              <w:rPr>
                <w:sz w:val="20"/>
                <w:szCs w:val="20"/>
              </w:rPr>
              <w:t>System Admin</w:t>
            </w:r>
          </w:p>
        </w:tc>
      </w:tr>
      <w:tr w14:paraId="1BD5CCB0">
        <w:tc>
          <w:tcPr>
            <w:tcW w:w="3500" w:type="dxa"/>
            <w:shd w:val="clear" w:color="auto" w:fill="F2F2F2"/>
          </w:tcPr>
          <w:p w14:paraId="6CE2DB9A">
            <w:r>
              <w:rPr>
                <w:sz w:val="20"/>
                <w:szCs w:val="20"/>
              </w:rPr>
              <w:t>Permission Master</w:t>
            </w:r>
          </w:p>
        </w:tc>
        <w:tc>
          <w:tcPr>
            <w:tcW w:w="4500" w:type="dxa"/>
            <w:shd w:val="clear" w:color="auto" w:fill="F2F2F2"/>
          </w:tcPr>
          <w:p w14:paraId="0BD29678">
            <w:r>
              <w:rPr>
                <w:sz w:val="20"/>
                <w:szCs w:val="20"/>
              </w:rPr>
              <w:t>Defines granular permissions per module and action (view, create, edit, approve, configure). Configurable per role.</w:t>
            </w:r>
          </w:p>
        </w:tc>
        <w:tc>
          <w:tcPr>
            <w:tcW w:w="2000" w:type="dxa"/>
            <w:shd w:val="clear" w:color="auto" w:fill="F2F2F2"/>
          </w:tcPr>
          <w:p w14:paraId="495A3844">
            <w:r>
              <w:rPr>
                <w:sz w:val="20"/>
                <w:szCs w:val="20"/>
              </w:rPr>
              <w:t>System Admin</w:t>
            </w:r>
          </w:p>
        </w:tc>
      </w:tr>
      <w:tr w14:paraId="12162531">
        <w:tc>
          <w:tcPr>
            <w:tcW w:w="3500" w:type="dxa"/>
            <w:shd w:val="clear" w:color="auto" w:fill="FFFFFF"/>
          </w:tcPr>
          <w:p w14:paraId="7DFE21FC">
            <w:r>
              <w:rPr>
                <w:sz w:val="20"/>
                <w:szCs w:val="20"/>
              </w:rPr>
              <w:t>Department Master</w:t>
            </w:r>
          </w:p>
        </w:tc>
        <w:tc>
          <w:tcPr>
            <w:tcW w:w="4500" w:type="dxa"/>
            <w:shd w:val="clear" w:color="auto" w:fill="FFFFFF"/>
          </w:tcPr>
          <w:p w14:paraId="496C961F">
            <w:r>
              <w:rPr>
                <w:sz w:val="20"/>
                <w:szCs w:val="20"/>
              </w:rPr>
              <w:t>Organization department definitions. Used for configuration scoping.</w:t>
            </w:r>
          </w:p>
        </w:tc>
        <w:tc>
          <w:tcPr>
            <w:tcW w:w="2000" w:type="dxa"/>
            <w:shd w:val="clear" w:color="auto" w:fill="FFFFFF"/>
          </w:tcPr>
          <w:p w14:paraId="2841465D">
            <w:r>
              <w:rPr>
                <w:sz w:val="20"/>
                <w:szCs w:val="20"/>
              </w:rPr>
              <w:t>HR Admin</w:t>
            </w:r>
          </w:p>
        </w:tc>
      </w:tr>
      <w:tr w14:paraId="682926F0">
        <w:tc>
          <w:tcPr>
            <w:tcW w:w="3500" w:type="dxa"/>
            <w:shd w:val="clear" w:color="auto" w:fill="F2F2F2"/>
          </w:tcPr>
          <w:p w14:paraId="6D1F0F1A">
            <w:r>
              <w:rPr>
                <w:sz w:val="20"/>
                <w:szCs w:val="20"/>
              </w:rPr>
              <w:t>Designation Master</w:t>
            </w:r>
          </w:p>
        </w:tc>
        <w:tc>
          <w:tcPr>
            <w:tcW w:w="4500" w:type="dxa"/>
            <w:shd w:val="clear" w:color="auto" w:fill="F2F2F2"/>
          </w:tcPr>
          <w:p w14:paraId="4EA01A07">
            <w:r>
              <w:rPr>
                <w:sz w:val="20"/>
                <w:szCs w:val="20"/>
              </w:rPr>
              <w:t>Job designation definitions. Used for salary band and configuration scoping.</w:t>
            </w:r>
          </w:p>
        </w:tc>
        <w:tc>
          <w:tcPr>
            <w:tcW w:w="2000" w:type="dxa"/>
            <w:shd w:val="clear" w:color="auto" w:fill="F2F2F2"/>
          </w:tcPr>
          <w:p w14:paraId="07E6EDF2">
            <w:r>
              <w:rPr>
                <w:sz w:val="20"/>
                <w:szCs w:val="20"/>
              </w:rPr>
              <w:t>HR Admin</w:t>
            </w:r>
          </w:p>
        </w:tc>
      </w:tr>
      <w:tr w14:paraId="771CDE06">
        <w:tc>
          <w:tcPr>
            <w:tcW w:w="3500" w:type="dxa"/>
            <w:shd w:val="clear" w:color="auto" w:fill="FFFFFF"/>
          </w:tcPr>
          <w:p w14:paraId="207BDC18">
            <w:r>
              <w:rPr>
                <w:sz w:val="20"/>
                <w:szCs w:val="20"/>
              </w:rPr>
              <w:t>Notification Config</w:t>
            </w:r>
          </w:p>
        </w:tc>
        <w:tc>
          <w:tcPr>
            <w:tcW w:w="4500" w:type="dxa"/>
            <w:shd w:val="clear" w:color="auto" w:fill="FFFFFF"/>
          </w:tcPr>
          <w:p w14:paraId="5B299C23">
            <w:r>
              <w:rPr>
                <w:sz w:val="20"/>
                <w:szCs w:val="20"/>
              </w:rPr>
              <w:t>Configures what events trigger notifications (low compliance, reward payout, BPV recalculation, etc.) and to whom.</w:t>
            </w:r>
          </w:p>
        </w:tc>
        <w:tc>
          <w:tcPr>
            <w:tcW w:w="2000" w:type="dxa"/>
            <w:shd w:val="clear" w:color="auto" w:fill="FFFFFF"/>
          </w:tcPr>
          <w:p w14:paraId="27CD9C96">
            <w:r>
              <w:rPr>
                <w:sz w:val="20"/>
                <w:szCs w:val="20"/>
              </w:rPr>
              <w:t>System Admin</w:t>
            </w:r>
          </w:p>
        </w:tc>
      </w:tr>
      <w:tr w14:paraId="7D10C7B0">
        <w:tc>
          <w:tcPr>
            <w:tcW w:w="3500" w:type="dxa"/>
            <w:shd w:val="clear" w:color="auto" w:fill="F2F2F2"/>
          </w:tcPr>
          <w:p w14:paraId="09DDBEAC">
            <w:r>
              <w:rPr>
                <w:sz w:val="20"/>
                <w:szCs w:val="20"/>
              </w:rPr>
              <w:t>Audit Log Config</w:t>
            </w:r>
          </w:p>
        </w:tc>
        <w:tc>
          <w:tcPr>
            <w:tcW w:w="4500" w:type="dxa"/>
            <w:shd w:val="clear" w:color="auto" w:fill="F2F2F2"/>
          </w:tcPr>
          <w:p w14:paraId="6D77E2C0">
            <w:r>
              <w:rPr>
                <w:sz w:val="20"/>
                <w:szCs w:val="20"/>
              </w:rPr>
              <w:t>Defines which actions are logged in the audit trail and their retention period.</w:t>
            </w:r>
          </w:p>
        </w:tc>
        <w:tc>
          <w:tcPr>
            <w:tcW w:w="2000" w:type="dxa"/>
            <w:shd w:val="clear" w:color="auto" w:fill="F2F2F2"/>
          </w:tcPr>
          <w:p w14:paraId="633ACD28">
            <w:r>
              <w:rPr>
                <w:sz w:val="20"/>
                <w:szCs w:val="20"/>
              </w:rPr>
              <w:t>System Admin</w:t>
            </w:r>
          </w:p>
        </w:tc>
      </w:tr>
    </w:tbl>
    <w:p w14:paraId="7C9C7CEB">
      <w:r>
        <w:br w:type="page"/>
      </w:r>
    </w:p>
    <w:p w14:paraId="5400EF9A">
      <w:pPr>
        <w:pStyle w:val="2"/>
        <w:pBdr>
          <w:bottom w:val="single" w:color="2E75B6" w:sz="8" w:space="0"/>
        </w:pBdr>
        <w:spacing w:before="480" w:after="200"/>
      </w:pPr>
      <w:bookmarkStart w:id="18" w:name="_Toc1543628577"/>
      <w:r>
        <w:t>5. System Overview</w:t>
      </w:r>
      <w:bookmarkEnd w:id="18"/>
    </w:p>
    <w:p w14:paraId="7596BFD0">
      <w:pPr>
        <w:spacing w:after="160"/>
        <w:jc w:val="both"/>
      </w:pPr>
      <w:r>
        <w:rPr>
          <w:color w:val="000000"/>
          <w:sz w:val="20"/>
          <w:szCs w:val="20"/>
        </w:rPr>
        <w:t>The HRMS is a web-based custom ERP application with a modular, metadata-driven architecture. The Configuration Engine sits at the foundation — all functional modules read their business rules from configuration at runtime.</w:t>
      </w:r>
    </w:p>
    <w:p w14:paraId="1589D1C3">
      <w:pPr>
        <w:spacing w:before="100"/>
      </w:pPr>
    </w:p>
    <w:p w14:paraId="097602C6">
      <w:pPr>
        <w:pBdr>
          <w:left w:val="single" w:color="2E75B6" w:sz="16" w:space="0"/>
        </w:pBdr>
        <w:shd w:val="clear" w:fill="D6E4F0"/>
        <w:spacing w:before="160" w:after="160"/>
        <w:ind w:left="360" w:right="360"/>
      </w:pPr>
      <w:r>
        <w:rPr>
          <w:b/>
          <w:bCs/>
          <w:color w:val="1F4E79"/>
          <w:sz w:val="20"/>
          <w:szCs w:val="20"/>
        </w:rPr>
        <w:t>ARCHITECTURAL FLOW:  Admin Dashboard  →  Configuration Engine  →  Functional Modules  →  Analytics &amp; Reports</w:t>
      </w:r>
    </w:p>
    <w:p w14:paraId="0D6833DF">
      <w:pPr>
        <w:spacing w:before="100"/>
      </w:pPr>
    </w:p>
    <w:p w14:paraId="71AD624E">
      <w:pPr>
        <w:pStyle w:val="3"/>
        <w:spacing w:before="320" w:after="160"/>
      </w:pPr>
      <w:bookmarkStart w:id="19" w:name="_Toc15554232"/>
      <w:r>
        <w:t>5.1 Module Map</w:t>
      </w:r>
      <w:bookmarkEnd w:id="19"/>
    </w:p>
    <w:p w14:paraId="254BD115">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13"/>
        <w:gridCol w:w="6047"/>
      </w:tblGrid>
      <w:tr w14:paraId="253776A8">
        <w:trPr>
          <w:tblHeader/>
        </w:trPr>
        <w:tc>
          <w:tcPr>
            <w:tcW w:w="3500" w:type="dxa"/>
            <w:shd w:val="clear" w:color="auto" w:fill="1F4E79"/>
          </w:tcPr>
          <w:p w14:paraId="15B7EAEC">
            <w:r>
              <w:rPr>
                <w:b/>
                <w:bCs/>
                <w:color w:val="FFFFFF"/>
                <w:sz w:val="20"/>
                <w:szCs w:val="20"/>
              </w:rPr>
              <w:t>Module</w:t>
            </w:r>
          </w:p>
        </w:tc>
        <w:tc>
          <w:tcPr>
            <w:tcW w:w="6500" w:type="dxa"/>
            <w:shd w:val="clear" w:color="auto" w:fill="1F4E79"/>
          </w:tcPr>
          <w:p w14:paraId="795CAD75">
            <w:r>
              <w:rPr>
                <w:b/>
                <w:bCs/>
                <w:color w:val="FFFFFF"/>
                <w:sz w:val="20"/>
                <w:szCs w:val="20"/>
              </w:rPr>
              <w:t>Depends On Config Entities</w:t>
            </w:r>
          </w:p>
        </w:tc>
      </w:tr>
      <w:tr w14:paraId="567B7062">
        <w:tc>
          <w:tcPr>
            <w:tcW w:w="3500" w:type="dxa"/>
            <w:shd w:val="clear" w:color="auto" w:fill="FFFFFF"/>
          </w:tcPr>
          <w:p w14:paraId="60F1B542">
            <w:r>
              <w:rPr>
                <w:sz w:val="20"/>
                <w:szCs w:val="20"/>
              </w:rPr>
              <w:t>Employee Master</w:t>
            </w:r>
          </w:p>
        </w:tc>
        <w:tc>
          <w:tcPr>
            <w:tcW w:w="6500" w:type="dxa"/>
            <w:shd w:val="clear" w:color="auto" w:fill="FFFFFF"/>
          </w:tcPr>
          <w:p w14:paraId="696CBBFE">
            <w:r>
              <w:rPr>
                <w:sz w:val="20"/>
                <w:szCs w:val="20"/>
              </w:rPr>
              <w:t>Department Master, Designation Master, Skill Master, Qualification Master</w:t>
            </w:r>
          </w:p>
        </w:tc>
      </w:tr>
      <w:tr w14:paraId="75BD6CD3">
        <w:tc>
          <w:tcPr>
            <w:tcW w:w="3500" w:type="dxa"/>
            <w:shd w:val="clear" w:color="auto" w:fill="F2F2F2"/>
          </w:tcPr>
          <w:p w14:paraId="5CFEC282">
            <w:r>
              <w:rPr>
                <w:sz w:val="20"/>
                <w:szCs w:val="20"/>
              </w:rPr>
              <w:t>BPV Engine</w:t>
            </w:r>
          </w:p>
        </w:tc>
        <w:tc>
          <w:tcPr>
            <w:tcW w:w="6500" w:type="dxa"/>
            <w:shd w:val="clear" w:color="auto" w:fill="F2F2F2"/>
          </w:tcPr>
          <w:p w14:paraId="2035F091">
            <w:r>
              <w:rPr>
                <w:sz w:val="20"/>
                <w:szCs w:val="20"/>
              </w:rPr>
              <w:t>BPV Weight Config, all scoring Masters, Review Cycle Config</w:t>
            </w:r>
          </w:p>
        </w:tc>
      </w:tr>
      <w:tr w14:paraId="6A99413B">
        <w:tc>
          <w:tcPr>
            <w:tcW w:w="3500" w:type="dxa"/>
            <w:shd w:val="clear" w:color="auto" w:fill="FFFFFF"/>
          </w:tcPr>
          <w:p w14:paraId="1F32E20A">
            <w:r>
              <w:rPr>
                <w:sz w:val="20"/>
                <w:szCs w:val="20"/>
              </w:rPr>
              <w:t>Qualification &amp; Experience Scoring</w:t>
            </w:r>
          </w:p>
        </w:tc>
        <w:tc>
          <w:tcPr>
            <w:tcW w:w="6500" w:type="dxa"/>
            <w:shd w:val="clear" w:color="auto" w:fill="FFFFFF"/>
          </w:tcPr>
          <w:p w14:paraId="12F4D1B0">
            <w:r>
              <w:rPr>
                <w:sz w:val="20"/>
                <w:szCs w:val="20"/>
              </w:rPr>
              <w:t>Qualification Master, Experience Band Master, Experience Type Master, Org Type Master</w:t>
            </w:r>
          </w:p>
        </w:tc>
      </w:tr>
      <w:tr w14:paraId="74D50E47">
        <w:tc>
          <w:tcPr>
            <w:tcW w:w="3500" w:type="dxa"/>
            <w:shd w:val="clear" w:color="auto" w:fill="F2F2F2"/>
          </w:tcPr>
          <w:p w14:paraId="05BC4E1B">
            <w:r>
              <w:rPr>
                <w:sz w:val="20"/>
                <w:szCs w:val="20"/>
              </w:rPr>
              <w:t>Technical Skill &amp; Certification Mgmt</w:t>
            </w:r>
          </w:p>
        </w:tc>
        <w:tc>
          <w:tcPr>
            <w:tcW w:w="6500" w:type="dxa"/>
            <w:shd w:val="clear" w:color="auto" w:fill="F2F2F2"/>
          </w:tcPr>
          <w:p w14:paraId="3168C0AC">
            <w:r>
              <w:rPr>
                <w:sz w:val="20"/>
                <w:szCs w:val="20"/>
              </w:rPr>
              <w:t>Skill Category Master, Skill Master, Skill Proficiency Master, Certification Master</w:t>
            </w:r>
          </w:p>
        </w:tc>
      </w:tr>
      <w:tr w14:paraId="47787022">
        <w:tc>
          <w:tcPr>
            <w:tcW w:w="3500" w:type="dxa"/>
            <w:shd w:val="clear" w:color="auto" w:fill="FFFFFF"/>
          </w:tcPr>
          <w:p w14:paraId="60CC4F16">
            <w:r>
              <w:rPr>
                <w:sz w:val="20"/>
                <w:szCs w:val="20"/>
              </w:rPr>
              <w:t>Outcome-Based Task Reporting</w:t>
            </w:r>
          </w:p>
        </w:tc>
        <w:tc>
          <w:tcPr>
            <w:tcW w:w="6500" w:type="dxa"/>
            <w:shd w:val="clear" w:color="auto" w:fill="FFFFFF"/>
          </w:tcPr>
          <w:p w14:paraId="00C59630">
            <w:r>
              <w:rPr>
                <w:sz w:val="20"/>
                <w:szCs w:val="20"/>
              </w:rPr>
              <w:t>Task Category Master, Quality Rating Master, Quality Criteria Master, Time Block Master</w:t>
            </w:r>
          </w:p>
        </w:tc>
      </w:tr>
      <w:tr w14:paraId="78AE9A94">
        <w:tc>
          <w:tcPr>
            <w:tcW w:w="3500" w:type="dxa"/>
            <w:shd w:val="clear" w:color="auto" w:fill="F2F2F2"/>
          </w:tcPr>
          <w:p w14:paraId="1636C5A2">
            <w:r>
              <w:rPr>
                <w:sz w:val="20"/>
                <w:szCs w:val="20"/>
              </w:rPr>
              <w:t>Time Reporting</w:t>
            </w:r>
          </w:p>
        </w:tc>
        <w:tc>
          <w:tcPr>
            <w:tcW w:w="6500" w:type="dxa"/>
            <w:shd w:val="clear" w:color="auto" w:fill="F2F2F2"/>
          </w:tcPr>
          <w:p w14:paraId="4F0AF297">
            <w:r>
              <w:rPr>
                <w:sz w:val="20"/>
                <w:szCs w:val="20"/>
              </w:rPr>
              <w:t>Time Block Master, Task Category Master</w:t>
            </w:r>
          </w:p>
        </w:tc>
      </w:tr>
      <w:tr w14:paraId="74C92A61">
        <w:tc>
          <w:tcPr>
            <w:tcW w:w="3500" w:type="dxa"/>
            <w:shd w:val="clear" w:color="auto" w:fill="FFFFFF"/>
          </w:tcPr>
          <w:p w14:paraId="6CCBFDA4">
            <w:r>
              <w:rPr>
                <w:sz w:val="20"/>
                <w:szCs w:val="20"/>
              </w:rPr>
              <w:t>Dual-Component Salary Management</w:t>
            </w:r>
          </w:p>
        </w:tc>
        <w:tc>
          <w:tcPr>
            <w:tcW w:w="6500" w:type="dxa"/>
            <w:shd w:val="clear" w:color="auto" w:fill="FFFFFF"/>
          </w:tcPr>
          <w:p w14:paraId="7E2C0D5E">
            <w:r>
              <w:rPr>
                <w:sz w:val="20"/>
                <w:szCs w:val="20"/>
              </w:rPr>
              <w:t>Salary Grade Master, Salary Band Master, Currency Config, Review Cycle Config</w:t>
            </w:r>
          </w:p>
        </w:tc>
      </w:tr>
      <w:tr w14:paraId="04DF5A9A">
        <w:tc>
          <w:tcPr>
            <w:tcW w:w="3500" w:type="dxa"/>
            <w:shd w:val="clear" w:color="auto" w:fill="F2F2F2"/>
          </w:tcPr>
          <w:p w14:paraId="17F11E01">
            <w:r>
              <w:rPr>
                <w:sz w:val="20"/>
                <w:szCs w:val="20"/>
              </w:rPr>
              <w:t>Productivity &amp; Efficiency Analytics</w:t>
            </w:r>
          </w:p>
        </w:tc>
        <w:tc>
          <w:tcPr>
            <w:tcW w:w="6500" w:type="dxa"/>
            <w:shd w:val="clear" w:color="auto" w:fill="F2F2F2"/>
          </w:tcPr>
          <w:p w14:paraId="1A78D503">
            <w:r>
              <w:rPr>
                <w:sz w:val="20"/>
                <w:szCs w:val="20"/>
              </w:rPr>
              <w:t>Efficiency Weight Config, Efficiency Tier Master, Efficiency Period Config</w:t>
            </w:r>
          </w:p>
        </w:tc>
      </w:tr>
      <w:tr w14:paraId="1918AE07">
        <w:tc>
          <w:tcPr>
            <w:tcW w:w="3500" w:type="dxa"/>
            <w:shd w:val="clear" w:color="auto" w:fill="FFFFFF"/>
          </w:tcPr>
          <w:p w14:paraId="2AAF2C8F">
            <w:r>
              <w:rPr>
                <w:sz w:val="20"/>
                <w:szCs w:val="20"/>
              </w:rPr>
              <w:t>Data Ownership Registry</w:t>
            </w:r>
          </w:p>
        </w:tc>
        <w:tc>
          <w:tcPr>
            <w:tcW w:w="6500" w:type="dxa"/>
            <w:shd w:val="clear" w:color="auto" w:fill="FFFFFF"/>
          </w:tcPr>
          <w:p w14:paraId="50B04E73">
            <w:r>
              <w:rPr>
                <w:sz w:val="20"/>
                <w:szCs w:val="20"/>
              </w:rPr>
              <w:t>Asset Type Master, Asset Status Master, Ownership Role Master</w:t>
            </w:r>
          </w:p>
        </w:tc>
      </w:tr>
      <w:tr w14:paraId="10D48AA5">
        <w:tc>
          <w:tcPr>
            <w:tcW w:w="3500" w:type="dxa"/>
            <w:shd w:val="clear" w:color="auto" w:fill="F2F2F2"/>
          </w:tcPr>
          <w:p w14:paraId="35E2CDB2">
            <w:r>
              <w:rPr>
                <w:sz w:val="20"/>
                <w:szCs w:val="20"/>
              </w:rPr>
              <w:t>Asset &amp; Documentation Management</w:t>
            </w:r>
          </w:p>
        </w:tc>
        <w:tc>
          <w:tcPr>
            <w:tcW w:w="6500" w:type="dxa"/>
            <w:shd w:val="clear" w:color="auto" w:fill="F2F2F2"/>
          </w:tcPr>
          <w:p w14:paraId="5487A384">
            <w:r>
              <w:rPr>
                <w:sz w:val="20"/>
                <w:szCs w:val="20"/>
              </w:rPr>
              <w:t>Documentation Type Master, Doc Requirement Config, Compliance Threshold Config, Non-Compliance Action Config</w:t>
            </w:r>
          </w:p>
        </w:tc>
      </w:tr>
      <w:tr w14:paraId="135F6390">
        <w:tc>
          <w:tcPr>
            <w:tcW w:w="3500" w:type="dxa"/>
            <w:shd w:val="clear" w:color="auto" w:fill="FFFFFF"/>
          </w:tcPr>
          <w:p w14:paraId="1EE27698">
            <w:r>
              <w:rPr>
                <w:sz w:val="20"/>
                <w:szCs w:val="20"/>
              </w:rPr>
              <w:t>Contribution Tracking</w:t>
            </w:r>
          </w:p>
        </w:tc>
        <w:tc>
          <w:tcPr>
            <w:tcW w:w="6500" w:type="dxa"/>
            <w:shd w:val="clear" w:color="auto" w:fill="FFFFFF"/>
          </w:tcPr>
          <w:p w14:paraId="32784F0D">
            <w:r>
              <w:rPr>
                <w:sz w:val="20"/>
                <w:szCs w:val="20"/>
              </w:rPr>
              <w:t>Asset Type Master, Reward Contribution Config</w:t>
            </w:r>
          </w:p>
        </w:tc>
      </w:tr>
      <w:tr w14:paraId="5B3111F7">
        <w:tc>
          <w:tcPr>
            <w:tcW w:w="3500" w:type="dxa"/>
            <w:shd w:val="clear" w:color="auto" w:fill="F2F2F2"/>
          </w:tcPr>
          <w:p w14:paraId="4E77F97E">
            <w:r>
              <w:rPr>
                <w:sz w:val="20"/>
                <w:szCs w:val="20"/>
              </w:rPr>
              <w:t>Reward &amp; Incentive Management</w:t>
            </w:r>
          </w:p>
        </w:tc>
        <w:tc>
          <w:tcPr>
            <w:tcW w:w="6500" w:type="dxa"/>
            <w:shd w:val="clear" w:color="auto" w:fill="F2F2F2"/>
          </w:tcPr>
          <w:p w14:paraId="00ADC621">
            <w:r>
              <w:rPr>
                <w:sz w:val="20"/>
                <w:szCs w:val="20"/>
              </w:rPr>
              <w:t>Reward Type Master, Reward Basis Master, Reward Formula Config, Reward Period Config, Reward Cap Config</w:t>
            </w:r>
          </w:p>
        </w:tc>
      </w:tr>
      <w:tr w14:paraId="4FE78FC7">
        <w:tc>
          <w:tcPr>
            <w:tcW w:w="3500" w:type="dxa"/>
            <w:shd w:val="clear" w:color="auto" w:fill="FFFFFF"/>
          </w:tcPr>
          <w:p w14:paraId="3F5DBAC5">
            <w:r>
              <w:rPr>
                <w:sz w:val="20"/>
                <w:szCs w:val="20"/>
              </w:rPr>
              <w:t>Beneficiary Management</w:t>
            </w:r>
          </w:p>
        </w:tc>
        <w:tc>
          <w:tcPr>
            <w:tcW w:w="6500" w:type="dxa"/>
            <w:shd w:val="clear" w:color="auto" w:fill="FFFFFF"/>
          </w:tcPr>
          <w:p w14:paraId="1189B294">
            <w:r>
              <w:rPr>
                <w:sz w:val="20"/>
                <w:szCs w:val="20"/>
              </w:rPr>
              <w:t>Beneficiary Type Master, Beneficiary Doc Config, Jurisdiction Config</w:t>
            </w:r>
          </w:p>
        </w:tc>
      </w:tr>
      <w:tr w14:paraId="75178FE9">
        <w:tc>
          <w:tcPr>
            <w:tcW w:w="3500" w:type="dxa"/>
            <w:shd w:val="clear" w:color="auto" w:fill="F2F2F2"/>
          </w:tcPr>
          <w:p w14:paraId="624A11CC">
            <w:r>
              <w:rPr>
                <w:sz w:val="20"/>
                <w:szCs w:val="20"/>
              </w:rPr>
              <w:t>HR &amp; Finance Admin Dashboard</w:t>
            </w:r>
          </w:p>
        </w:tc>
        <w:tc>
          <w:tcPr>
            <w:tcW w:w="6500" w:type="dxa"/>
            <w:shd w:val="clear" w:color="auto" w:fill="F2F2F2"/>
          </w:tcPr>
          <w:p w14:paraId="0A3899D5">
            <w:r>
              <w:rPr>
                <w:sz w:val="20"/>
                <w:szCs w:val="20"/>
              </w:rPr>
              <w:t>All configuration entities — this is where they are managed</w:t>
            </w:r>
          </w:p>
        </w:tc>
      </w:tr>
      <w:tr w14:paraId="1EE6D37C">
        <w:tc>
          <w:tcPr>
            <w:tcW w:w="3500" w:type="dxa"/>
            <w:shd w:val="clear" w:color="auto" w:fill="FFFFFF"/>
          </w:tcPr>
          <w:p w14:paraId="56AD58AD">
            <w:r>
              <w:rPr>
                <w:sz w:val="20"/>
                <w:szCs w:val="20"/>
              </w:rPr>
              <w:t>Reports &amp; Analytics</w:t>
            </w:r>
          </w:p>
        </w:tc>
        <w:tc>
          <w:tcPr>
            <w:tcW w:w="6500" w:type="dxa"/>
            <w:shd w:val="clear" w:color="auto" w:fill="FFFFFF"/>
          </w:tcPr>
          <w:p w14:paraId="3122FA25">
            <w:r>
              <w:rPr>
                <w:sz w:val="20"/>
                <w:szCs w:val="20"/>
              </w:rPr>
              <w:t>All functional modules — cross-module reporting</w:t>
            </w:r>
          </w:p>
        </w:tc>
      </w:tr>
    </w:tbl>
    <w:p w14:paraId="09D6111F">
      <w:r>
        <w:br w:type="page"/>
      </w:r>
    </w:p>
    <w:p w14:paraId="6B444682">
      <w:pPr>
        <w:pStyle w:val="2"/>
        <w:pBdr>
          <w:bottom w:val="single" w:color="2E75B6" w:sz="8" w:space="0"/>
        </w:pBdr>
        <w:spacing w:before="480" w:after="200"/>
      </w:pPr>
      <w:bookmarkStart w:id="20" w:name="_Toc1574455937"/>
      <w:r>
        <w:t>6. Functional Module Specifications</w:t>
      </w:r>
      <w:bookmarkEnd w:id="20"/>
    </w:p>
    <w:p w14:paraId="7800B43A">
      <w:pPr>
        <w:pStyle w:val="3"/>
        <w:spacing w:before="320" w:after="160"/>
      </w:pPr>
      <w:bookmarkStart w:id="21" w:name="_Toc587434825"/>
      <w:r>
        <w:t>6.1 Employee Master</w:t>
      </w:r>
      <w:bookmarkEnd w:id="21"/>
    </w:p>
    <w:p w14:paraId="7E1D8F2E">
      <w:pPr>
        <w:spacing w:after="160"/>
        <w:jc w:val="both"/>
      </w:pPr>
      <w:r>
        <w:rPr>
          <w:color w:val="000000"/>
          <w:sz w:val="20"/>
          <w:szCs w:val="20"/>
        </w:rPr>
        <w:t>The Employee Master is the central profile record for each employee. All other modules reference this record. All reference data fields (department, designation, qualification type, skill, certification) resolve against Master configuration entities.</w:t>
      </w:r>
    </w:p>
    <w:p w14:paraId="655CC3A9">
      <w:pPr>
        <w:pStyle w:val="4"/>
        <w:spacing w:before="240" w:after="120"/>
      </w:pPr>
      <w:r>
        <w:t>Key Data Fields</w:t>
      </w:r>
    </w:p>
    <w:p w14:paraId="4C3FE3DE">
      <w:pPr>
        <w:pStyle w:val="16"/>
        <w:numPr>
          <w:ilvl w:val="0"/>
          <w:numId w:val="1"/>
        </w:numPr>
        <w:spacing w:after="80"/>
      </w:pPr>
      <w:r>
        <w:rPr>
          <w:color w:val="000000"/>
          <w:sz w:val="20"/>
          <w:szCs w:val="20"/>
        </w:rPr>
        <w:t>Personal: name, date of birth, contact details, emergency contact</w:t>
      </w:r>
    </w:p>
    <w:p w14:paraId="7B203045">
      <w:pPr>
        <w:pStyle w:val="16"/>
        <w:numPr>
          <w:ilvl w:val="0"/>
          <w:numId w:val="1"/>
        </w:numPr>
        <w:spacing w:after="80"/>
      </w:pPr>
      <w:r>
        <w:rPr>
          <w:color w:val="000000"/>
          <w:sz w:val="20"/>
          <w:szCs w:val="20"/>
        </w:rPr>
        <w:t>Employment: employee ID, designation, department, reporting manager, date of joining, status</w:t>
      </w:r>
    </w:p>
    <w:p w14:paraId="7B76E1D2">
      <w:pPr>
        <w:pStyle w:val="16"/>
        <w:numPr>
          <w:ilvl w:val="0"/>
          <w:numId w:val="1"/>
        </w:numPr>
        <w:spacing w:after="80"/>
      </w:pPr>
      <w:r>
        <w:rPr>
          <w:color w:val="000000"/>
          <w:sz w:val="20"/>
          <w:szCs w:val="20"/>
        </w:rPr>
        <w:t>Professional profile: qualifications (from Qualification Master), experience entries, organization history (from Org Type Master)</w:t>
      </w:r>
    </w:p>
    <w:p w14:paraId="50FFD726">
      <w:pPr>
        <w:pStyle w:val="16"/>
        <w:numPr>
          <w:ilvl w:val="0"/>
          <w:numId w:val="1"/>
        </w:numPr>
        <w:spacing w:after="80"/>
      </w:pPr>
      <w:r>
        <w:rPr>
          <w:color w:val="000000"/>
          <w:sz w:val="20"/>
          <w:szCs w:val="20"/>
        </w:rPr>
        <w:t>Skill profile: skills and proficiency levels (from Skill Master + Skill Proficiency Master), certifications (from Certification Master)</w:t>
      </w:r>
    </w:p>
    <w:p w14:paraId="7AC71616">
      <w:pPr>
        <w:pStyle w:val="16"/>
        <w:numPr>
          <w:ilvl w:val="0"/>
          <w:numId w:val="1"/>
        </w:numPr>
        <w:spacing w:after="80"/>
      </w:pPr>
      <w:r>
        <w:rPr>
          <w:color w:val="000000"/>
          <w:sz w:val="20"/>
          <w:szCs w:val="20"/>
        </w:rPr>
        <w:t>BPV Score: computed by the BPV Engine, updated per Review Cycle Config</w:t>
      </w:r>
    </w:p>
    <w:p w14:paraId="073C9170">
      <w:pPr>
        <w:pStyle w:val="16"/>
        <w:numPr>
          <w:ilvl w:val="0"/>
          <w:numId w:val="1"/>
        </w:numPr>
        <w:spacing w:after="80"/>
      </w:pPr>
      <w:r>
        <w:rPr>
          <w:color w:val="000000"/>
          <w:sz w:val="20"/>
          <w:szCs w:val="20"/>
        </w:rPr>
        <w:t>Salary: Component 1 (BPV-based), Component 2 (time-reporting), split per Salary Grade Master</w:t>
      </w:r>
    </w:p>
    <w:p w14:paraId="79871DD9">
      <w:pPr>
        <w:pStyle w:val="16"/>
        <w:numPr>
          <w:ilvl w:val="0"/>
          <w:numId w:val="1"/>
        </w:numPr>
        <w:spacing w:after="80"/>
      </w:pPr>
      <w:r>
        <w:rPr>
          <w:color w:val="000000"/>
          <w:sz w:val="20"/>
          <w:szCs w:val="20"/>
        </w:rPr>
        <w:t>Status: Active / On Notice / Exited — ownership records are retained permanently regardless of status</w:t>
      </w:r>
    </w:p>
    <w:p w14:paraId="03498B50">
      <w:pPr>
        <w:spacing w:before="200"/>
      </w:pPr>
    </w:p>
    <w:p w14:paraId="2FBE0646">
      <w:pPr>
        <w:pStyle w:val="3"/>
        <w:spacing w:before="320" w:after="160"/>
      </w:pPr>
      <w:bookmarkStart w:id="22" w:name="_Toc1034778516"/>
      <w:r>
        <w:t>6.2 Base Professional Value (BPV) Engine</w:t>
      </w:r>
      <w:bookmarkEnd w:id="22"/>
    </w:p>
    <w:p w14:paraId="0B089BEA">
      <w:pPr>
        <w:spacing w:after="160"/>
        <w:jc w:val="both"/>
      </w:pPr>
      <w:r>
        <w:rPr>
          <w:color w:val="000000"/>
          <w:sz w:val="20"/>
          <w:szCs w:val="20"/>
        </w:rPr>
        <w:t>The BPV Engine calculates each employee's professional worth score using configuration entities loaded at runtime. No formula is hardcoded.</w:t>
      </w:r>
    </w:p>
    <w:p w14:paraId="04B9DF32">
      <w:pPr>
        <w:pStyle w:val="4"/>
        <w:spacing w:before="240" w:after="120"/>
      </w:pPr>
      <w:r>
        <w:t>6.2.1 Runtime Formula</w:t>
      </w:r>
    </w:p>
    <w:p w14:paraId="43E91449">
      <w:pPr>
        <w:pBdr>
          <w:left w:val="single" w:color="2E75B6" w:sz="16" w:space="0"/>
        </w:pBdr>
        <w:shd w:val="clear" w:fill="D6E4F0"/>
        <w:spacing w:before="160" w:after="160"/>
        <w:ind w:left="360" w:right="360"/>
      </w:pPr>
      <w:r>
        <w:rPr>
          <w:b/>
          <w:bCs/>
          <w:color w:val="1F4E79"/>
          <w:sz w:val="20"/>
          <w:szCs w:val="20"/>
        </w:rPr>
        <w:t>BPV Score = (Education Score × Edu Weight) + (Experience Score × Exp Weight) + (Org Score × Org Weight) + (Skill Score × Skill Weight) + (Certification Score × Cert Weight)</w:t>
      </w:r>
    </w:p>
    <w:p w14:paraId="1BA6772D">
      <w:pPr>
        <w:spacing w:after="160"/>
        <w:jc w:val="both"/>
      </w:pPr>
      <w:r>
        <w:rPr>
          <w:color w:val="000000"/>
          <w:sz w:val="20"/>
          <w:szCs w:val="20"/>
        </w:rPr>
        <w:t>All weights are read from BPV Weight Config at the time of calculation. Weights are versioned — historical recalculations use the weight that was active at the relevant date.</w:t>
      </w:r>
    </w:p>
    <w:p w14:paraId="63915B23">
      <w:pPr>
        <w:spacing w:before="100"/>
      </w:pPr>
    </w:p>
    <w:p w14:paraId="625C3FDD">
      <w:pPr>
        <w:pStyle w:val="4"/>
        <w:spacing w:before="240" w:after="120"/>
      </w:pPr>
      <w:r>
        <w:t>6.2.2 Scoring Inputs — All Metadata-Driven</w:t>
      </w:r>
    </w:p>
    <w:p w14:paraId="42619E0C">
      <w:pPr>
        <w:pStyle w:val="16"/>
        <w:numPr>
          <w:ilvl w:val="0"/>
          <w:numId w:val="1"/>
        </w:numPr>
        <w:spacing w:after="80"/>
      </w:pPr>
      <w:r>
        <w:rPr>
          <w:color w:val="000000"/>
          <w:sz w:val="20"/>
          <w:szCs w:val="20"/>
        </w:rPr>
        <w:t>Education Score: sum of scores for each qualification held by the employee, where scores are read from Qualification Master.</w:t>
      </w:r>
    </w:p>
    <w:p w14:paraId="2C634EF7">
      <w:pPr>
        <w:pStyle w:val="16"/>
        <w:numPr>
          <w:ilvl w:val="0"/>
          <w:numId w:val="1"/>
        </w:numPr>
        <w:spacing w:after="80"/>
      </w:pPr>
      <w:r>
        <w:rPr>
          <w:color w:val="000000"/>
          <w:sz w:val="20"/>
          <w:szCs w:val="20"/>
        </w:rPr>
        <w:t>Experience Score: score is computed per experience type (domain, enterprise, global, leadership) using Experience Band Master and Experience Type Master weights.</w:t>
      </w:r>
    </w:p>
    <w:p w14:paraId="111BA2D0">
      <w:pPr>
        <w:pStyle w:val="16"/>
        <w:numPr>
          <w:ilvl w:val="0"/>
          <w:numId w:val="1"/>
        </w:numPr>
        <w:spacing w:after="80"/>
      </w:pPr>
      <w:r>
        <w:rPr>
          <w:color w:val="000000"/>
          <w:sz w:val="20"/>
          <w:szCs w:val="20"/>
        </w:rPr>
        <w:t>Organization Score: sum of scores for each previous organization, read from Organization Type Master.</w:t>
      </w:r>
    </w:p>
    <w:p w14:paraId="231A0C65">
      <w:pPr>
        <w:pStyle w:val="16"/>
        <w:numPr>
          <w:ilvl w:val="0"/>
          <w:numId w:val="1"/>
        </w:numPr>
        <w:spacing w:after="80"/>
      </w:pPr>
      <w:r>
        <w:rPr>
          <w:color w:val="000000"/>
          <w:sz w:val="20"/>
          <w:szCs w:val="20"/>
        </w:rPr>
        <w:t>Skill Score: sum across all skills, calculated as Skill Base Score × Proficiency Multiplier, both read from Skill Master and Skill Proficiency Master.</w:t>
      </w:r>
    </w:p>
    <w:p w14:paraId="7AD7A9DC">
      <w:pPr>
        <w:pStyle w:val="16"/>
        <w:numPr>
          <w:ilvl w:val="0"/>
          <w:numId w:val="1"/>
        </w:numPr>
        <w:spacing w:after="80"/>
      </w:pPr>
      <w:r>
        <w:rPr>
          <w:color w:val="000000"/>
          <w:sz w:val="20"/>
          <w:szCs w:val="20"/>
        </w:rPr>
        <w:t>Certification Score: sum of scores for held certifications, read from Certification Master.</w:t>
      </w:r>
    </w:p>
    <w:p w14:paraId="78D36005">
      <w:pPr>
        <w:pStyle w:val="16"/>
        <w:numPr>
          <w:ilvl w:val="0"/>
          <w:numId w:val="1"/>
        </w:numPr>
        <w:spacing w:after="80"/>
      </w:pPr>
      <w:r>
        <w:rPr>
          <w:color w:val="000000"/>
          <w:sz w:val="20"/>
          <w:szCs w:val="20"/>
        </w:rPr>
        <w:t>Optional score cap applied if BPV Score Cap Config is set for the employee's grade.</w:t>
      </w:r>
    </w:p>
    <w:p w14:paraId="4B6D63F1">
      <w:pPr>
        <w:spacing w:before="100"/>
      </w:pPr>
    </w:p>
    <w:p w14:paraId="60F8463D">
      <w:pPr>
        <w:pStyle w:val="4"/>
        <w:spacing w:before="240" w:after="120"/>
      </w:pPr>
      <w:r>
        <w:t>6.2.3 Recalculation Rules</w:t>
      </w:r>
    </w:p>
    <w:p w14:paraId="03D438D1">
      <w:pPr>
        <w:pStyle w:val="16"/>
        <w:numPr>
          <w:ilvl w:val="0"/>
          <w:numId w:val="1"/>
        </w:numPr>
        <w:spacing w:after="80"/>
      </w:pPr>
      <w:r>
        <w:rPr>
          <w:color w:val="000000"/>
          <w:sz w:val="20"/>
          <w:szCs w:val="20"/>
        </w:rPr>
        <w:t>BPV is recalculated automatically when an employee's qualification, experience, or skill profile is updated.</w:t>
      </w:r>
    </w:p>
    <w:p w14:paraId="0BA2C105">
      <w:pPr>
        <w:pStyle w:val="16"/>
        <w:numPr>
          <w:ilvl w:val="0"/>
          <w:numId w:val="1"/>
        </w:numPr>
        <w:spacing w:after="80"/>
      </w:pPr>
      <w:r>
        <w:rPr>
          <w:color w:val="000000"/>
          <w:sz w:val="20"/>
          <w:szCs w:val="20"/>
        </w:rPr>
        <w:t>Scheduled recalculation runs per Review Cycle Config (monthly, quarterly, or annually).</w:t>
      </w:r>
    </w:p>
    <w:p w14:paraId="7D62E248">
      <w:pPr>
        <w:pStyle w:val="16"/>
        <w:numPr>
          <w:ilvl w:val="0"/>
          <w:numId w:val="1"/>
        </w:numPr>
        <w:spacing w:after="80"/>
      </w:pPr>
      <w:r>
        <w:rPr>
          <w:color w:val="000000"/>
          <w:sz w:val="20"/>
          <w:szCs w:val="20"/>
        </w:rPr>
        <w:t>Manual recalculation can be triggered by HR Admin with a mandatory reason log.</w:t>
      </w:r>
    </w:p>
    <w:p w14:paraId="49204514">
      <w:pPr>
        <w:pStyle w:val="16"/>
        <w:numPr>
          <w:ilvl w:val="0"/>
          <w:numId w:val="1"/>
        </w:numPr>
        <w:spacing w:after="80"/>
      </w:pPr>
      <w:r>
        <w:rPr>
          <w:color w:val="000000"/>
          <w:sz w:val="20"/>
          <w:szCs w:val="20"/>
        </w:rPr>
        <w:t>Full BPV history is retained — every score value at every point in time is stored.</w:t>
      </w:r>
    </w:p>
    <w:p w14:paraId="71E7C331">
      <w:pPr>
        <w:pStyle w:val="16"/>
        <w:numPr>
          <w:ilvl w:val="0"/>
          <w:numId w:val="1"/>
        </w:numPr>
        <w:spacing w:after="80"/>
      </w:pPr>
      <w:r>
        <w:rPr>
          <w:color w:val="000000"/>
          <w:sz w:val="20"/>
          <w:szCs w:val="20"/>
        </w:rPr>
        <w:t>Salary Component 1 is updated per Salary Band Master at each review cycle.</w:t>
      </w:r>
    </w:p>
    <w:p w14:paraId="7BFE8C4D">
      <w:pPr>
        <w:spacing w:before="200"/>
      </w:pPr>
    </w:p>
    <w:p w14:paraId="209B6042">
      <w:pPr>
        <w:pStyle w:val="3"/>
        <w:spacing w:before="320" w:after="160"/>
      </w:pPr>
      <w:bookmarkStart w:id="23" w:name="_Toc1199945006"/>
      <w:r>
        <w:t>6.3 Outcome-Based Task and Time Reporting</w:t>
      </w:r>
      <w:bookmarkEnd w:id="23"/>
    </w:p>
    <w:p w14:paraId="47AA47BD">
      <w:pPr>
        <w:spacing w:after="160"/>
        <w:jc w:val="both"/>
      </w:pPr>
      <w:r>
        <w:rPr>
          <w:color w:val="000000"/>
          <w:sz w:val="20"/>
          <w:szCs w:val="20"/>
        </w:rPr>
        <w:t>This module replaces the traditional attendance-and-timesheet model. The focus is on what was delivered, not how many hours were occupied. All configurable parameters are runtime-loaded.</w:t>
      </w:r>
    </w:p>
    <w:p w14:paraId="3E24EAF6">
      <w:pPr>
        <w:pStyle w:val="4"/>
        <w:spacing w:before="240" w:after="120"/>
      </w:pPr>
      <w:r>
        <w:t>6.3.1 Task Assignment and Reporting</w:t>
      </w:r>
    </w:p>
    <w:p w14:paraId="144E67F8">
      <w:pPr>
        <w:pStyle w:val="16"/>
        <w:numPr>
          <w:ilvl w:val="0"/>
          <w:numId w:val="1"/>
        </w:numPr>
        <w:spacing w:after="80"/>
      </w:pPr>
      <w:r>
        <w:rPr>
          <w:color w:val="000000"/>
          <w:sz w:val="20"/>
          <w:szCs w:val="20"/>
        </w:rPr>
        <w:t>Managers assign tasks with deliverables, quality criteria (from Quality Criteria Master), and expected completion date.</w:t>
      </w:r>
    </w:p>
    <w:p w14:paraId="6B4BC78D">
      <w:pPr>
        <w:pStyle w:val="16"/>
        <w:numPr>
          <w:ilvl w:val="0"/>
          <w:numId w:val="1"/>
        </w:numPr>
        <w:spacing w:after="80"/>
      </w:pPr>
      <w:r>
        <w:rPr>
          <w:color w:val="000000"/>
          <w:sz w:val="20"/>
          <w:szCs w:val="20"/>
        </w:rPr>
        <w:t>Employees report: completion status, quality self-assessment (from Quality Rating Master), any blockers, and time consumed.</w:t>
      </w:r>
    </w:p>
    <w:p w14:paraId="4177251A">
      <w:pPr>
        <w:pStyle w:val="16"/>
        <w:numPr>
          <w:ilvl w:val="0"/>
          <w:numId w:val="1"/>
        </w:numPr>
        <w:spacing w:after="80"/>
      </w:pPr>
      <w:r>
        <w:rPr>
          <w:color w:val="000000"/>
          <w:sz w:val="20"/>
          <w:szCs w:val="20"/>
        </w:rPr>
        <w:t>Managers review delivery and rate quality using the Quality Rating Master scale.</w:t>
      </w:r>
    </w:p>
    <w:p w14:paraId="36F15724">
      <w:pPr>
        <w:pStyle w:val="16"/>
        <w:numPr>
          <w:ilvl w:val="0"/>
          <w:numId w:val="1"/>
        </w:numPr>
        <w:spacing w:after="80"/>
      </w:pPr>
      <w:r>
        <w:rPr>
          <w:color w:val="000000"/>
          <w:sz w:val="20"/>
          <w:szCs w:val="20"/>
        </w:rPr>
        <w:t>Accepted, rejected, or returned-for-revision statuses are supported.</w:t>
      </w:r>
    </w:p>
    <w:p w14:paraId="560C0546">
      <w:pPr>
        <w:spacing w:before="100"/>
      </w:pPr>
    </w:p>
    <w:p w14:paraId="4DC4BA27">
      <w:pPr>
        <w:pStyle w:val="4"/>
        <w:spacing w:before="240" w:after="120"/>
      </w:pPr>
      <w:r>
        <w:t>6.3.2 Time Blocks</w:t>
      </w:r>
    </w:p>
    <w:p w14:paraId="3D2D71EF">
      <w:pPr>
        <w:spacing w:after="160"/>
        <w:jc w:val="both"/>
      </w:pPr>
      <w:r>
        <w:rPr>
          <w:color w:val="000000"/>
          <w:sz w:val="20"/>
          <w:szCs w:val="20"/>
        </w:rPr>
        <w:t>Available time reporting options are loaded from Time Block Master at runtime. Default configuration: 1 hr, 2 hrs, 4 hrs, 6 hrs. HR Admin can modify this list without code changes.</w:t>
      </w:r>
    </w:p>
    <w:p w14:paraId="2B21FA06">
      <w:pPr>
        <w:spacing w:before="100"/>
      </w:pPr>
    </w:p>
    <w:p w14:paraId="3E813DE8">
      <w:pPr>
        <w:pStyle w:val="4"/>
        <w:spacing w:before="240" w:after="120"/>
      </w:pPr>
      <w:r>
        <w:t>6.3.3 Benchmark Time</w:t>
      </w:r>
    </w:p>
    <w:p w14:paraId="56C8A6FE">
      <w:pPr>
        <w:spacing w:after="160"/>
        <w:jc w:val="both"/>
      </w:pPr>
      <w:r>
        <w:rPr>
          <w:color w:val="000000"/>
          <w:sz w:val="20"/>
          <w:szCs w:val="20"/>
        </w:rPr>
        <w:t>Each task is assigned a category (from Task Category Master). Each category has a configurable benchmark duration. This benchmark is used by the Efficiency Engine to compare actual time reported against expected time.</w:t>
      </w:r>
    </w:p>
    <w:p w14:paraId="6850DD6B">
      <w:pPr>
        <w:spacing w:before="200"/>
      </w:pPr>
    </w:p>
    <w:p w14:paraId="41BB2DAC">
      <w:pPr>
        <w:pStyle w:val="3"/>
        <w:spacing w:before="320" w:after="160"/>
      </w:pPr>
      <w:bookmarkStart w:id="24" w:name="_Toc456786865"/>
      <w:r>
        <w:t>6.4 Dual-Component Salary Structure</w:t>
      </w:r>
      <w:bookmarkEnd w:id="24"/>
    </w:p>
    <w:p w14:paraId="03D62967">
      <w:pPr>
        <w:spacing w:after="160"/>
        <w:jc w:val="both"/>
      </w:pPr>
      <w:r>
        <w:rPr>
          <w:color w:val="000000"/>
          <w:sz w:val="20"/>
          <w:szCs w:val="20"/>
        </w:rPr>
        <w:t>The salary structure is entirely driven by configuration. No salary amount or split ratio is hardcoded.</w:t>
      </w:r>
    </w:p>
    <w:p w14:paraId="6BDC0391">
      <w:pPr>
        <w:pStyle w:val="4"/>
        <w:spacing w:before="240" w:after="120"/>
      </w:pPr>
      <w:r>
        <w:t>Component 1 — BPV Salary</w:t>
      </w:r>
    </w:p>
    <w:p w14:paraId="528EBA50">
      <w:pPr>
        <w:pStyle w:val="16"/>
        <w:numPr>
          <w:ilvl w:val="0"/>
          <w:numId w:val="1"/>
        </w:numPr>
        <w:spacing w:after="80"/>
      </w:pPr>
      <w:r>
        <w:rPr>
          <w:color w:val="000000"/>
          <w:sz w:val="20"/>
          <w:szCs w:val="20"/>
        </w:rPr>
        <w:t>Percentage of total compensation — read from Salary Grade Master for the employee's grade.</w:t>
      </w:r>
    </w:p>
    <w:p w14:paraId="20CFB60C">
      <w:pPr>
        <w:pStyle w:val="16"/>
        <w:numPr>
          <w:ilvl w:val="0"/>
          <w:numId w:val="1"/>
        </w:numPr>
        <w:spacing w:after="80"/>
      </w:pPr>
      <w:r>
        <w:rPr>
          <w:color w:val="000000"/>
          <w:sz w:val="20"/>
          <w:szCs w:val="20"/>
        </w:rPr>
        <w:t>Salary amount derived from BPV Score using Salary Band Master (score range → salary range mapping).</w:t>
      </w:r>
    </w:p>
    <w:p w14:paraId="2292F304">
      <w:pPr>
        <w:pStyle w:val="16"/>
        <w:numPr>
          <w:ilvl w:val="0"/>
          <w:numId w:val="1"/>
        </w:numPr>
        <w:spacing w:after="80"/>
      </w:pPr>
      <w:r>
        <w:rPr>
          <w:color w:val="000000"/>
          <w:sz w:val="20"/>
          <w:szCs w:val="20"/>
        </w:rPr>
        <w:t>Updated at each review cycle per Review Cycle Config.</w:t>
      </w:r>
    </w:p>
    <w:p w14:paraId="09F01953">
      <w:pPr>
        <w:spacing w:before="100"/>
      </w:pPr>
    </w:p>
    <w:p w14:paraId="59E49F7C">
      <w:pPr>
        <w:pStyle w:val="4"/>
        <w:spacing w:before="240" w:after="120"/>
      </w:pPr>
      <w:r>
        <w:t>Component 2 — Time Reporting Value</w:t>
      </w:r>
    </w:p>
    <w:p w14:paraId="5F638B70">
      <w:pPr>
        <w:pStyle w:val="16"/>
        <w:numPr>
          <w:ilvl w:val="0"/>
          <w:numId w:val="1"/>
        </w:numPr>
        <w:spacing w:after="80"/>
      </w:pPr>
      <w:r>
        <w:rPr>
          <w:color w:val="000000"/>
          <w:sz w:val="20"/>
          <w:szCs w:val="20"/>
        </w:rPr>
        <w:t>Remaining percentage of total compensation — defined as 100% minus Component 1 split.</w:t>
      </w:r>
    </w:p>
    <w:p w14:paraId="1E302F70">
      <w:pPr>
        <w:pStyle w:val="16"/>
        <w:numPr>
          <w:ilvl w:val="0"/>
          <w:numId w:val="1"/>
        </w:numPr>
        <w:spacing w:after="80"/>
      </w:pPr>
      <w:r>
        <w:rPr>
          <w:color w:val="000000"/>
          <w:sz w:val="20"/>
          <w:szCs w:val="20"/>
        </w:rPr>
        <w:t>Computed based on accepted time entries for the reporting period.</w:t>
      </w:r>
    </w:p>
    <w:p w14:paraId="2E49B7FD">
      <w:pPr>
        <w:pStyle w:val="16"/>
        <w:numPr>
          <w:ilvl w:val="0"/>
          <w:numId w:val="1"/>
        </w:numPr>
        <w:spacing w:after="80"/>
      </w:pPr>
      <w:r>
        <w:rPr>
          <w:color w:val="000000"/>
          <w:sz w:val="20"/>
          <w:szCs w:val="20"/>
        </w:rPr>
        <w:t>Rate per time block and computation method configurable in Salary Grade Master.</w:t>
      </w:r>
    </w:p>
    <w:p w14:paraId="7DFBB8DD">
      <w:pPr>
        <w:spacing w:before="200"/>
      </w:pPr>
    </w:p>
    <w:p w14:paraId="53B62526">
      <w:pPr>
        <w:pStyle w:val="3"/>
        <w:spacing w:before="320" w:after="160"/>
      </w:pPr>
      <w:bookmarkStart w:id="25" w:name="_Toc2110285677"/>
      <w:r>
        <w:t>6.5 Efficiency Evaluation</w:t>
      </w:r>
      <w:bookmarkEnd w:id="25"/>
    </w:p>
    <w:p w14:paraId="254A2A83">
      <w:pPr>
        <w:spacing w:after="160"/>
        <w:jc w:val="both"/>
      </w:pPr>
      <w:r>
        <w:rPr>
          <w:color w:val="000000"/>
          <w:sz w:val="20"/>
          <w:szCs w:val="20"/>
        </w:rPr>
        <w:t>The Efficiency Engine scores employee performance using three configurable input factors. All weights and tier mappings are loaded from configuration at runtime.</w:t>
      </w:r>
    </w:p>
    <w:p w14:paraId="1CF98103">
      <w:pPr>
        <w:pStyle w:val="4"/>
        <w:spacing w:before="240" w:after="120"/>
      </w:pPr>
      <w:r>
        <w:t>6.5.1 Efficiency Score Formula</w:t>
      </w:r>
    </w:p>
    <w:p w14:paraId="53435532">
      <w:pPr>
        <w:pBdr>
          <w:left w:val="single" w:color="2E75B6" w:sz="16" w:space="0"/>
        </w:pBdr>
        <w:shd w:val="clear" w:fill="E2EFDA"/>
        <w:spacing w:before="160" w:after="160"/>
        <w:ind w:left="360" w:right="360"/>
      </w:pPr>
      <w:r>
        <w:rPr>
          <w:b/>
          <w:bCs/>
          <w:color w:val="375623"/>
          <w:sz w:val="20"/>
          <w:szCs w:val="20"/>
        </w:rPr>
        <w:t>Efficiency Score = (Completion Rate × CR Weight) + (Quality Score × QS Weight) + (Time Efficiency × TE Weight)</w:t>
      </w:r>
    </w:p>
    <w:p w14:paraId="09C2A91A">
      <w:pPr>
        <w:spacing w:after="160"/>
        <w:jc w:val="both"/>
      </w:pPr>
      <w:r>
        <w:rPr>
          <w:color w:val="000000"/>
          <w:sz w:val="20"/>
          <w:szCs w:val="20"/>
        </w:rPr>
        <w:t>All three weights are read from Efficiency Weight Config. They must sum to 100% and can be adjusted by HR Admin at any time.</w:t>
      </w:r>
    </w:p>
    <w:p w14:paraId="55DEC956">
      <w:pPr>
        <w:spacing w:before="100"/>
      </w:pPr>
    </w:p>
    <w:p w14:paraId="69A58375">
      <w:pPr>
        <w:pStyle w:val="4"/>
        <w:spacing w:before="240" w:after="120"/>
      </w:pPr>
      <w:r>
        <w:t>6.5.2 Incentive Tier Mapping</w:t>
      </w:r>
    </w:p>
    <w:p w14:paraId="7BD2B9DC">
      <w:pPr>
        <w:spacing w:after="160"/>
        <w:jc w:val="both"/>
      </w:pPr>
      <w:r>
        <w:rPr>
          <w:color w:val="000000"/>
          <w:sz w:val="20"/>
          <w:szCs w:val="20"/>
        </w:rPr>
        <w:t>Efficiency Score is mapped to incentive eligibility percentage using Efficiency Tier Master. Example configuration (fully editable):</w:t>
      </w:r>
    </w:p>
    <w:p w14:paraId="34295485">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3"/>
        <w:gridCol w:w="3279"/>
        <w:gridCol w:w="3738"/>
      </w:tblGrid>
      <w:tr w14:paraId="75A0D628">
        <w:trPr>
          <w:tblHeader/>
        </w:trPr>
        <w:tc>
          <w:tcPr>
            <w:tcW w:w="2500" w:type="dxa"/>
            <w:shd w:val="clear" w:color="auto" w:fill="1F4E79"/>
          </w:tcPr>
          <w:p w14:paraId="68C10AEF">
            <w:r>
              <w:rPr>
                <w:b/>
                <w:bCs/>
                <w:color w:val="FFFFFF"/>
                <w:sz w:val="20"/>
                <w:szCs w:val="20"/>
              </w:rPr>
              <w:t>Score Range</w:t>
            </w:r>
          </w:p>
        </w:tc>
        <w:tc>
          <w:tcPr>
            <w:tcW w:w="3500" w:type="dxa"/>
            <w:shd w:val="clear" w:color="auto" w:fill="1F4E79"/>
          </w:tcPr>
          <w:p w14:paraId="112BD961">
            <w:r>
              <w:rPr>
                <w:b/>
                <w:bCs/>
                <w:color w:val="FFFFFF"/>
                <w:sz w:val="20"/>
                <w:szCs w:val="20"/>
              </w:rPr>
              <w:t>Incentive Eligibility</w:t>
            </w:r>
          </w:p>
        </w:tc>
        <w:tc>
          <w:tcPr>
            <w:tcW w:w="4000" w:type="dxa"/>
            <w:shd w:val="clear" w:color="auto" w:fill="1F4E79"/>
          </w:tcPr>
          <w:p w14:paraId="511921AF">
            <w:r>
              <w:rPr>
                <w:b/>
                <w:bCs/>
                <w:color w:val="FFFFFF"/>
                <w:sz w:val="20"/>
                <w:szCs w:val="20"/>
              </w:rPr>
              <w:t>Notes</w:t>
            </w:r>
          </w:p>
        </w:tc>
      </w:tr>
      <w:tr w14:paraId="30AAF5A3">
        <w:tc>
          <w:tcPr>
            <w:tcW w:w="2500" w:type="dxa"/>
            <w:shd w:val="clear" w:color="auto" w:fill="FFFFFF"/>
          </w:tcPr>
          <w:p w14:paraId="2CDC7991">
            <w:r>
              <w:rPr>
                <w:sz w:val="20"/>
                <w:szCs w:val="20"/>
              </w:rPr>
              <w:t>90 – 100</w:t>
            </w:r>
          </w:p>
        </w:tc>
        <w:tc>
          <w:tcPr>
            <w:tcW w:w="3500" w:type="dxa"/>
            <w:shd w:val="clear" w:color="auto" w:fill="FFFFFF"/>
          </w:tcPr>
          <w:p w14:paraId="2E6CC731">
            <w:r>
              <w:rPr>
                <w:sz w:val="20"/>
                <w:szCs w:val="20"/>
              </w:rPr>
              <w:t>25% of annual salary</w:t>
            </w:r>
          </w:p>
        </w:tc>
        <w:tc>
          <w:tcPr>
            <w:tcW w:w="4000" w:type="dxa"/>
            <w:shd w:val="clear" w:color="auto" w:fill="FFFFFF"/>
          </w:tcPr>
          <w:p w14:paraId="07B78D28">
            <w:r>
              <w:rPr>
                <w:sz w:val="20"/>
                <w:szCs w:val="20"/>
              </w:rPr>
              <w:t>Top performer tier</w:t>
            </w:r>
          </w:p>
        </w:tc>
      </w:tr>
      <w:tr w14:paraId="3A4B873F">
        <w:tc>
          <w:tcPr>
            <w:tcW w:w="2500" w:type="dxa"/>
            <w:shd w:val="clear" w:color="auto" w:fill="F2F2F2"/>
          </w:tcPr>
          <w:p w14:paraId="073DC5FE">
            <w:r>
              <w:rPr>
                <w:sz w:val="20"/>
                <w:szCs w:val="20"/>
              </w:rPr>
              <w:t>75 – 89</w:t>
            </w:r>
          </w:p>
        </w:tc>
        <w:tc>
          <w:tcPr>
            <w:tcW w:w="3500" w:type="dxa"/>
            <w:shd w:val="clear" w:color="auto" w:fill="F2F2F2"/>
          </w:tcPr>
          <w:p w14:paraId="0F7E74BE">
            <w:r>
              <w:rPr>
                <w:sz w:val="20"/>
                <w:szCs w:val="20"/>
              </w:rPr>
              <w:t>15% of annual salary</w:t>
            </w:r>
          </w:p>
        </w:tc>
        <w:tc>
          <w:tcPr>
            <w:tcW w:w="4000" w:type="dxa"/>
            <w:shd w:val="clear" w:color="auto" w:fill="F2F2F2"/>
          </w:tcPr>
          <w:p w14:paraId="0600AA8C">
            <w:r>
              <w:rPr>
                <w:sz w:val="20"/>
                <w:szCs w:val="20"/>
              </w:rPr>
              <w:t>High performer tier</w:t>
            </w:r>
          </w:p>
        </w:tc>
      </w:tr>
      <w:tr w14:paraId="1B3BAD4C">
        <w:tc>
          <w:tcPr>
            <w:tcW w:w="2500" w:type="dxa"/>
            <w:shd w:val="clear" w:color="auto" w:fill="FFFFFF"/>
          </w:tcPr>
          <w:p w14:paraId="038BE80E">
            <w:r>
              <w:rPr>
                <w:sz w:val="20"/>
                <w:szCs w:val="20"/>
              </w:rPr>
              <w:t>60 – 74</w:t>
            </w:r>
          </w:p>
        </w:tc>
        <w:tc>
          <w:tcPr>
            <w:tcW w:w="3500" w:type="dxa"/>
            <w:shd w:val="clear" w:color="auto" w:fill="FFFFFF"/>
          </w:tcPr>
          <w:p w14:paraId="147C4EAE">
            <w:r>
              <w:rPr>
                <w:sz w:val="20"/>
                <w:szCs w:val="20"/>
              </w:rPr>
              <w:t>5% of annual salary</w:t>
            </w:r>
          </w:p>
        </w:tc>
        <w:tc>
          <w:tcPr>
            <w:tcW w:w="4000" w:type="dxa"/>
            <w:shd w:val="clear" w:color="auto" w:fill="FFFFFF"/>
          </w:tcPr>
          <w:p w14:paraId="1A47CAB8">
            <w:r>
              <w:rPr>
                <w:sz w:val="20"/>
                <w:szCs w:val="20"/>
              </w:rPr>
              <w:t>Standard performer</w:t>
            </w:r>
          </w:p>
        </w:tc>
      </w:tr>
      <w:tr w14:paraId="654C3BC8">
        <w:tc>
          <w:tcPr>
            <w:tcW w:w="2500" w:type="dxa"/>
            <w:shd w:val="clear" w:color="auto" w:fill="F2F2F2"/>
          </w:tcPr>
          <w:p w14:paraId="567F7DC8">
            <w:r>
              <w:rPr>
                <w:sz w:val="20"/>
                <w:szCs w:val="20"/>
              </w:rPr>
              <w:t>Below 60</w:t>
            </w:r>
          </w:p>
        </w:tc>
        <w:tc>
          <w:tcPr>
            <w:tcW w:w="3500" w:type="dxa"/>
            <w:shd w:val="clear" w:color="auto" w:fill="F2F2F2"/>
          </w:tcPr>
          <w:p w14:paraId="7C812D86">
            <w:r>
              <w:rPr>
                <w:sz w:val="20"/>
                <w:szCs w:val="20"/>
              </w:rPr>
              <w:t>0%</w:t>
            </w:r>
          </w:p>
        </w:tc>
        <w:tc>
          <w:tcPr>
            <w:tcW w:w="4000" w:type="dxa"/>
            <w:shd w:val="clear" w:color="auto" w:fill="F2F2F2"/>
          </w:tcPr>
          <w:p w14:paraId="619B0A5A">
            <w:r>
              <w:rPr>
                <w:sz w:val="20"/>
                <w:szCs w:val="20"/>
              </w:rPr>
              <w:t>Review required</w:t>
            </w:r>
          </w:p>
        </w:tc>
      </w:tr>
    </w:tbl>
    <w:p w14:paraId="508DD8FC">
      <w:pPr>
        <w:spacing w:before="200"/>
      </w:pPr>
    </w:p>
    <w:p w14:paraId="582A5780">
      <w:pPr>
        <w:pStyle w:val="3"/>
        <w:spacing w:before="320" w:after="160"/>
      </w:pPr>
      <w:bookmarkStart w:id="26" w:name="_Toc1878943134"/>
      <w:r>
        <w:t>6.6 Employee Data Ownership Registry</w:t>
      </w:r>
      <w:bookmarkEnd w:id="26"/>
    </w:p>
    <w:p w14:paraId="713B9EE7">
      <w:pPr>
        <w:spacing w:after="160"/>
        <w:jc w:val="both"/>
      </w:pPr>
      <w:r>
        <w:rPr>
          <w:color w:val="000000"/>
          <w:sz w:val="20"/>
          <w:szCs w:val="20"/>
        </w:rPr>
        <w:t>Every digital asset created by an employee is registered with full ownership metadata. Asset types are driven by Asset Type Master — the system supports any asset category HR/IT defines.</w:t>
      </w:r>
    </w:p>
    <w:p w14:paraId="32A1A530">
      <w:pPr>
        <w:pStyle w:val="4"/>
        <w:spacing w:before="240" w:after="120"/>
      </w:pPr>
      <w:r>
        <w:t>6.6.1 Asset Registration</w:t>
      </w:r>
    </w:p>
    <w:p w14:paraId="76820D44">
      <w:pPr>
        <w:pStyle w:val="16"/>
        <w:numPr>
          <w:ilvl w:val="0"/>
          <w:numId w:val="1"/>
        </w:numPr>
        <w:spacing w:after="80"/>
      </w:pPr>
      <w:r>
        <w:rPr>
          <w:color w:val="000000"/>
          <w:sz w:val="20"/>
          <w:szCs w:val="20"/>
        </w:rPr>
        <w:t>Creator registers the asset — selects asset type (from Asset Type Master), enters ownership details.</w:t>
      </w:r>
    </w:p>
    <w:p w14:paraId="4E280707">
      <w:pPr>
        <w:pStyle w:val="16"/>
        <w:numPr>
          <w:ilvl w:val="0"/>
          <w:numId w:val="1"/>
        </w:numPr>
        <w:spacing w:after="80"/>
      </w:pPr>
      <w:r>
        <w:rPr>
          <w:color w:val="000000"/>
          <w:sz w:val="20"/>
          <w:szCs w:val="20"/>
        </w:rPr>
        <w:t>Ownership roles assigned per Ownership Role Master (Creator, Contributor, Reviewer, Approver, Owner).</w:t>
      </w:r>
    </w:p>
    <w:p w14:paraId="6A085FAB">
      <w:pPr>
        <w:pStyle w:val="16"/>
        <w:numPr>
          <w:ilvl w:val="0"/>
          <w:numId w:val="1"/>
        </w:numPr>
        <w:spacing w:after="80"/>
      </w:pPr>
      <w:r>
        <w:rPr>
          <w:color w:val="000000"/>
          <w:sz w:val="20"/>
          <w:szCs w:val="20"/>
        </w:rPr>
        <w:t>Version history is maintained automatically on every asset update.</w:t>
      </w:r>
    </w:p>
    <w:p w14:paraId="3F0AD3CB">
      <w:pPr>
        <w:spacing w:before="100"/>
      </w:pPr>
    </w:p>
    <w:p w14:paraId="136249A8">
      <w:pPr>
        <w:pStyle w:val="4"/>
        <w:spacing w:before="240" w:after="120"/>
      </w:pPr>
      <w:r>
        <w:t>6.6.2 Post-Departure Rule</w:t>
      </w:r>
    </w:p>
    <w:p w14:paraId="553D4986">
      <w:pPr>
        <w:pStyle w:val="16"/>
        <w:numPr>
          <w:ilvl w:val="0"/>
          <w:numId w:val="1"/>
        </w:numPr>
        <w:spacing w:after="80"/>
      </w:pPr>
      <w:r>
        <w:rPr>
          <w:color w:val="000000"/>
          <w:sz w:val="20"/>
          <w:szCs w:val="20"/>
        </w:rPr>
        <w:t>On employee exit, system flags all assets owned by the employee for handover review.</w:t>
      </w:r>
    </w:p>
    <w:p w14:paraId="767AF670">
      <w:pPr>
        <w:pStyle w:val="16"/>
        <w:numPr>
          <w:ilvl w:val="0"/>
          <w:numId w:val="1"/>
        </w:numPr>
        <w:spacing w:after="80"/>
      </w:pPr>
      <w:r>
        <w:rPr>
          <w:color w:val="000000"/>
          <w:sz w:val="20"/>
          <w:szCs w:val="20"/>
        </w:rPr>
        <w:t>Operational ownership transfers to the organization.</w:t>
      </w:r>
    </w:p>
    <w:p w14:paraId="44B5AAE5">
      <w:pPr>
        <w:pStyle w:val="16"/>
        <w:numPr>
          <w:ilvl w:val="0"/>
          <w:numId w:val="1"/>
        </w:numPr>
        <w:spacing w:after="80"/>
      </w:pPr>
      <w:r>
        <w:rPr>
          <w:color w:val="000000"/>
          <w:sz w:val="20"/>
          <w:szCs w:val="20"/>
        </w:rPr>
        <w:t>Historical authorship and accountability remain permanently attributed to the individual — immutable.</w:t>
      </w:r>
    </w:p>
    <w:p w14:paraId="6E8E6874">
      <w:pPr>
        <w:spacing w:before="200"/>
      </w:pPr>
    </w:p>
    <w:p w14:paraId="6AA8B6DD">
      <w:pPr>
        <w:pStyle w:val="3"/>
        <w:spacing w:before="320" w:after="160"/>
      </w:pPr>
      <w:bookmarkStart w:id="27" w:name="_Toc650224003"/>
      <w:r>
        <w:t>6.7 Documentation Compliance Management</w:t>
      </w:r>
      <w:bookmarkEnd w:id="27"/>
    </w:p>
    <w:p w14:paraId="34288BFD">
      <w:pPr>
        <w:spacing w:after="160"/>
        <w:jc w:val="both"/>
      </w:pPr>
      <w:r>
        <w:rPr>
          <w:color w:val="000000"/>
          <w:sz w:val="20"/>
          <w:szCs w:val="20"/>
        </w:rPr>
        <w:t>Every registered asset must satisfy the documentation checklist defined in Doc Requirement Config for its asset type. Compliance is automatically calculated and monitored.</w:t>
      </w:r>
    </w:p>
    <w:p w14:paraId="25D6C123">
      <w:pPr>
        <w:pStyle w:val="4"/>
        <w:spacing w:before="240" w:after="120"/>
      </w:pPr>
      <w:r>
        <w:t>6.7.1 Compliance Calculation</w:t>
      </w:r>
    </w:p>
    <w:p w14:paraId="5F6CD509">
      <w:pPr>
        <w:pStyle w:val="16"/>
        <w:numPr>
          <w:ilvl w:val="0"/>
          <w:numId w:val="1"/>
        </w:numPr>
        <w:spacing w:after="80"/>
      </w:pPr>
      <w:r>
        <w:rPr>
          <w:color w:val="000000"/>
          <w:sz w:val="20"/>
          <w:szCs w:val="20"/>
        </w:rPr>
        <w:t>System checks each required documentation item (from Doc Requirement Config) against what has been submitted for the asset.</w:t>
      </w:r>
    </w:p>
    <w:p w14:paraId="49C6024B">
      <w:pPr>
        <w:pStyle w:val="16"/>
        <w:numPr>
          <w:ilvl w:val="0"/>
          <w:numId w:val="1"/>
        </w:numPr>
        <w:spacing w:after="80"/>
      </w:pPr>
      <w:r>
        <w:rPr>
          <w:color w:val="000000"/>
          <w:sz w:val="20"/>
          <w:szCs w:val="20"/>
        </w:rPr>
        <w:t>Compliance Score = (Submitted Items / Required Items) × 100.</w:t>
      </w:r>
    </w:p>
    <w:p w14:paraId="49EA058E">
      <w:pPr>
        <w:pStyle w:val="16"/>
        <w:numPr>
          <w:ilvl w:val="0"/>
          <w:numId w:val="1"/>
        </w:numPr>
        <w:spacing w:after="80"/>
      </w:pPr>
      <w:r>
        <w:rPr>
          <w:color w:val="000000"/>
          <w:sz w:val="20"/>
          <w:szCs w:val="20"/>
        </w:rPr>
        <w:t>If score falls below the threshold defined in Compliance Threshold Config, asset is flagged as non-compliant.</w:t>
      </w:r>
    </w:p>
    <w:p w14:paraId="3C60C193">
      <w:pPr>
        <w:pStyle w:val="16"/>
        <w:numPr>
          <w:ilvl w:val="0"/>
          <w:numId w:val="1"/>
        </w:numPr>
        <w:spacing w:after="80"/>
      </w:pPr>
      <w:r>
        <w:rPr>
          <w:color w:val="000000"/>
          <w:sz w:val="20"/>
          <w:szCs w:val="20"/>
        </w:rPr>
        <w:t>Consequence of non-compliance is determined by Non-Compliance Action Config — flag, notify manager, block, or affect efficiency score.</w:t>
      </w:r>
    </w:p>
    <w:p w14:paraId="542635B2">
      <w:pPr>
        <w:spacing w:before="200"/>
      </w:pPr>
    </w:p>
    <w:p w14:paraId="0784ECD5">
      <w:pPr>
        <w:pStyle w:val="3"/>
        <w:spacing w:before="320" w:after="160"/>
      </w:pPr>
      <w:bookmarkStart w:id="28" w:name="_Toc1918022485"/>
      <w:r>
        <w:t>6.8 Long-Term Reward and Royalty Management</w:t>
      </w:r>
      <w:bookmarkEnd w:id="28"/>
    </w:p>
    <w:p w14:paraId="3DBE8D06">
      <w:pPr>
        <w:spacing w:after="160"/>
        <w:jc w:val="both"/>
      </w:pPr>
      <w:r>
        <w:rPr>
          <w:color w:val="000000"/>
          <w:sz w:val="20"/>
          <w:szCs w:val="20"/>
        </w:rPr>
        <w:t>The Reward Engine calculates and manages long-term incentives tied to the business value of employee-created assets. All formulas, reward types, and payment schedules are configuration-driven.</w:t>
      </w:r>
    </w:p>
    <w:p w14:paraId="53BEE28B">
      <w:pPr>
        <w:pStyle w:val="4"/>
        <w:spacing w:before="240" w:after="120"/>
      </w:pPr>
      <w:r>
        <w:t>6.8.1 Reward Calculation Flow</w:t>
      </w:r>
    </w:p>
    <w:p w14:paraId="26D686C1">
      <w:pPr>
        <w:pStyle w:val="16"/>
        <w:numPr>
          <w:ilvl w:val="0"/>
          <w:numId w:val="1"/>
        </w:numPr>
        <w:spacing w:after="80"/>
      </w:pPr>
      <w:r>
        <w:rPr>
          <w:color w:val="000000"/>
          <w:sz w:val="20"/>
          <w:szCs w:val="20"/>
        </w:rPr>
        <w:t>HR/Finance nominates an asset for reward based on a value metric (from Reward Basis Master).</w:t>
      </w:r>
    </w:p>
    <w:p w14:paraId="25ABA51A">
      <w:pPr>
        <w:pStyle w:val="16"/>
        <w:numPr>
          <w:ilvl w:val="0"/>
          <w:numId w:val="1"/>
        </w:numPr>
        <w:spacing w:after="80"/>
      </w:pPr>
      <w:r>
        <w:rPr>
          <w:color w:val="000000"/>
          <w:sz w:val="20"/>
          <w:szCs w:val="20"/>
        </w:rPr>
        <w:t>The system applies the formula from Reward Formula Config for the selected reward type.</w:t>
      </w:r>
    </w:p>
    <w:p w14:paraId="228F039D">
      <w:pPr>
        <w:pStyle w:val="16"/>
        <w:numPr>
          <w:ilvl w:val="0"/>
          <w:numId w:val="1"/>
        </w:numPr>
        <w:spacing w:after="80"/>
      </w:pPr>
      <w:r>
        <w:rPr>
          <w:color w:val="000000"/>
          <w:sz w:val="20"/>
          <w:szCs w:val="20"/>
        </w:rPr>
        <w:t>Reward amount is split across Creator and Contributors per Reward Contribution Config.</w:t>
      </w:r>
    </w:p>
    <w:p w14:paraId="62A4A24C">
      <w:pPr>
        <w:pStyle w:val="16"/>
        <w:numPr>
          <w:ilvl w:val="0"/>
          <w:numId w:val="1"/>
        </w:numPr>
        <w:spacing w:after="80"/>
      </w:pPr>
      <w:r>
        <w:rPr>
          <w:color w:val="000000"/>
          <w:sz w:val="20"/>
          <w:szCs w:val="20"/>
        </w:rPr>
        <w:t>Reward Cap Config is applied if a ceiling is configured for the grade or reward type.</w:t>
      </w:r>
    </w:p>
    <w:p w14:paraId="69D40D56">
      <w:pPr>
        <w:pStyle w:val="16"/>
        <w:numPr>
          <w:ilvl w:val="0"/>
          <w:numId w:val="1"/>
        </w:numPr>
        <w:spacing w:after="80"/>
      </w:pPr>
      <w:r>
        <w:rPr>
          <w:color w:val="000000"/>
          <w:sz w:val="20"/>
          <w:szCs w:val="20"/>
        </w:rPr>
        <w:t>Payment is scheduled per Reward Period Config.</w:t>
      </w:r>
    </w:p>
    <w:p w14:paraId="3FE1E64F">
      <w:pPr>
        <w:spacing w:before="200"/>
      </w:pPr>
    </w:p>
    <w:p w14:paraId="7B901CFB">
      <w:pPr>
        <w:pStyle w:val="3"/>
        <w:spacing w:before="320" w:after="160"/>
      </w:pPr>
      <w:bookmarkStart w:id="29" w:name="_Toc326880278"/>
      <w:r>
        <w:t>6.9 Beneficiary Management</w:t>
      </w:r>
      <w:bookmarkEnd w:id="29"/>
    </w:p>
    <w:p w14:paraId="5B01FD8B">
      <w:pPr>
        <w:spacing w:after="160"/>
        <w:jc w:val="both"/>
      </w:pPr>
      <w:r>
        <w:rPr>
          <w:color w:val="000000"/>
          <w:sz w:val="20"/>
          <w:szCs w:val="20"/>
        </w:rPr>
        <w:t>Employees nominate beneficiaries for eligible long-term rewards. All beneficiary types and documentation requirements are metadata-driven.</w:t>
      </w:r>
    </w:p>
    <w:p w14:paraId="0C6E0DF1">
      <w:pPr>
        <w:pStyle w:val="16"/>
        <w:numPr>
          <w:ilvl w:val="0"/>
          <w:numId w:val="1"/>
        </w:numPr>
        <w:spacing w:after="80"/>
      </w:pPr>
      <w:r>
        <w:rPr>
          <w:color w:val="000000"/>
          <w:sz w:val="20"/>
          <w:szCs w:val="20"/>
        </w:rPr>
        <w:t>Beneficiary types resolved from Beneficiary Type Master — HR configures which types are allowed.</w:t>
      </w:r>
    </w:p>
    <w:p w14:paraId="56F22F88">
      <w:pPr>
        <w:pStyle w:val="16"/>
        <w:numPr>
          <w:ilvl w:val="0"/>
          <w:numId w:val="1"/>
        </w:numPr>
        <w:spacing w:after="80"/>
      </w:pPr>
      <w:r>
        <w:rPr>
          <w:color w:val="000000"/>
          <w:sz w:val="20"/>
          <w:szCs w:val="20"/>
        </w:rPr>
        <w:t>Required documents per type defined in Beneficiary Doc Config.</w:t>
      </w:r>
    </w:p>
    <w:p w14:paraId="6AFCDA10">
      <w:pPr>
        <w:pStyle w:val="16"/>
        <w:numPr>
          <w:ilvl w:val="0"/>
          <w:numId w:val="1"/>
        </w:numPr>
        <w:spacing w:after="80"/>
      </w:pPr>
      <w:r>
        <w:rPr>
          <w:color w:val="000000"/>
          <w:sz w:val="20"/>
          <w:szCs w:val="20"/>
        </w:rPr>
        <w:t>Jurisdiction rules per Jurisdiction Config — supports multi-jurisdiction organizations.</w:t>
      </w:r>
    </w:p>
    <w:p w14:paraId="693906C0">
      <w:pPr>
        <w:pStyle w:val="16"/>
        <w:numPr>
          <w:ilvl w:val="0"/>
          <w:numId w:val="1"/>
        </w:numPr>
        <w:spacing w:after="80"/>
      </w:pPr>
      <w:r>
        <w:rPr>
          <w:color w:val="000000"/>
          <w:sz w:val="20"/>
          <w:szCs w:val="20"/>
        </w:rPr>
        <w:t>Employees can update beneficiary nominations at any time (or within windows defined by HR policy config).</w:t>
      </w:r>
    </w:p>
    <w:p w14:paraId="61C482E9">
      <w:pPr>
        <w:pStyle w:val="16"/>
        <w:numPr>
          <w:ilvl w:val="0"/>
          <w:numId w:val="1"/>
        </w:numPr>
        <w:spacing w:after="80"/>
      </w:pPr>
      <w:r>
        <w:rPr>
          <w:color w:val="000000"/>
          <w:sz w:val="20"/>
          <w:szCs w:val="20"/>
        </w:rPr>
        <w:t>Default rule: if no beneficiary is designated, reward routing is flagged to HR for manual resolution.</w:t>
      </w:r>
    </w:p>
    <w:p w14:paraId="66D03519">
      <w:r>
        <w:br w:type="page"/>
      </w:r>
    </w:p>
    <w:p w14:paraId="331A9AEA">
      <w:pPr>
        <w:pStyle w:val="2"/>
        <w:pBdr>
          <w:bottom w:val="single" w:color="2E75B6" w:sz="8" w:space="0"/>
        </w:pBdr>
        <w:spacing w:before="480" w:after="200"/>
      </w:pPr>
      <w:bookmarkStart w:id="30" w:name="_Toc613663320"/>
      <w:r>
        <w:t>7. Non-Functional Requirements</w:t>
      </w:r>
      <w:bookmarkEnd w:id="30"/>
    </w:p>
    <w:p w14:paraId="022CD6EF">
      <w:pPr>
        <w:pStyle w:val="3"/>
        <w:spacing w:before="320" w:after="160"/>
      </w:pPr>
      <w:bookmarkStart w:id="31" w:name="_Toc1622946346"/>
      <w:r>
        <w:t>7.1 Configuration Engine Performance</w:t>
      </w:r>
      <w:bookmarkEnd w:id="31"/>
    </w:p>
    <w:p w14:paraId="659766E0">
      <w:pPr>
        <w:pStyle w:val="16"/>
        <w:numPr>
          <w:ilvl w:val="0"/>
          <w:numId w:val="1"/>
        </w:numPr>
        <w:spacing w:after="80"/>
      </w:pPr>
      <w:r>
        <w:rPr>
          <w:color w:val="000000"/>
          <w:sz w:val="20"/>
          <w:szCs w:val="20"/>
        </w:rPr>
        <w:t>Configuration data is cached in application memory at startup and refreshed on admin update — no per-request database reads for config.</w:t>
      </w:r>
    </w:p>
    <w:p w14:paraId="4B8F782F">
      <w:pPr>
        <w:pStyle w:val="16"/>
        <w:numPr>
          <w:ilvl w:val="0"/>
          <w:numId w:val="1"/>
        </w:numPr>
        <w:spacing w:after="80"/>
      </w:pPr>
      <w:r>
        <w:rPr>
          <w:color w:val="000000"/>
          <w:sz w:val="20"/>
          <w:szCs w:val="20"/>
        </w:rPr>
        <w:t>Cache invalidation is triggered automatically when any config entity is updated.</w:t>
      </w:r>
    </w:p>
    <w:p w14:paraId="773E9E9B">
      <w:pPr>
        <w:pStyle w:val="16"/>
        <w:numPr>
          <w:ilvl w:val="0"/>
          <w:numId w:val="1"/>
        </w:numPr>
        <w:spacing w:after="80"/>
      </w:pPr>
      <w:r>
        <w:rPr>
          <w:color w:val="000000"/>
          <w:sz w:val="20"/>
          <w:szCs w:val="20"/>
        </w:rPr>
        <w:t>BPV recalculation for a single employee must complete within 5 seconds.</w:t>
      </w:r>
    </w:p>
    <w:p w14:paraId="6FAD2C33">
      <w:pPr>
        <w:spacing w:before="100"/>
      </w:pPr>
    </w:p>
    <w:p w14:paraId="33D728F0">
      <w:pPr>
        <w:pStyle w:val="3"/>
        <w:spacing w:before="320" w:after="160"/>
      </w:pPr>
      <w:bookmarkStart w:id="32" w:name="_Toc1669436675"/>
      <w:r>
        <w:t>7.2 Security</w:t>
      </w:r>
      <w:bookmarkEnd w:id="32"/>
    </w:p>
    <w:p w14:paraId="21171408">
      <w:pPr>
        <w:pStyle w:val="16"/>
        <w:numPr>
          <w:ilvl w:val="0"/>
          <w:numId w:val="1"/>
        </w:numPr>
        <w:spacing w:after="80"/>
      </w:pPr>
      <w:r>
        <w:rPr>
          <w:color w:val="000000"/>
          <w:sz w:val="20"/>
          <w:szCs w:val="20"/>
        </w:rPr>
        <w:t>Role-Based Access Control — configuration entities are accessible only to authorized admin roles.</w:t>
      </w:r>
    </w:p>
    <w:p w14:paraId="210B607C">
      <w:pPr>
        <w:pStyle w:val="16"/>
        <w:numPr>
          <w:ilvl w:val="0"/>
          <w:numId w:val="1"/>
        </w:numPr>
        <w:spacing w:after="80"/>
      </w:pPr>
      <w:r>
        <w:rPr>
          <w:color w:val="000000"/>
          <w:sz w:val="20"/>
          <w:szCs w:val="20"/>
        </w:rPr>
        <w:t>All configuration changes are logged in the audit trail: who, what, when, and the reason.</w:t>
      </w:r>
    </w:p>
    <w:p w14:paraId="0DD7EABC">
      <w:pPr>
        <w:pStyle w:val="16"/>
        <w:numPr>
          <w:ilvl w:val="0"/>
          <w:numId w:val="1"/>
        </w:numPr>
        <w:spacing w:after="80"/>
      </w:pPr>
      <w:r>
        <w:rPr>
          <w:color w:val="000000"/>
          <w:sz w:val="20"/>
          <w:szCs w:val="20"/>
        </w:rPr>
        <w:t>No configuration record is ever deleted — only versioned and superseded.</w:t>
      </w:r>
    </w:p>
    <w:p w14:paraId="1E735CE4">
      <w:pPr>
        <w:pStyle w:val="16"/>
        <w:numPr>
          <w:ilvl w:val="0"/>
          <w:numId w:val="1"/>
        </w:numPr>
        <w:spacing w:after="80"/>
      </w:pPr>
      <w:r>
        <w:rPr>
          <w:color w:val="000000"/>
          <w:sz w:val="20"/>
          <w:szCs w:val="20"/>
        </w:rPr>
        <w:t>SSO support for enterprise authentication.</w:t>
      </w:r>
    </w:p>
    <w:p w14:paraId="50BBC13F">
      <w:pPr>
        <w:spacing w:before="100"/>
      </w:pPr>
    </w:p>
    <w:p w14:paraId="50DF82F7">
      <w:pPr>
        <w:pStyle w:val="3"/>
        <w:spacing w:before="320" w:after="160"/>
      </w:pPr>
      <w:bookmarkStart w:id="33" w:name="_Toc1348348670"/>
      <w:r>
        <w:t>7.3 Scalability</w:t>
      </w:r>
      <w:bookmarkEnd w:id="33"/>
    </w:p>
    <w:p w14:paraId="41F46BD4">
      <w:pPr>
        <w:pStyle w:val="16"/>
        <w:numPr>
          <w:ilvl w:val="0"/>
          <w:numId w:val="1"/>
        </w:numPr>
        <w:spacing w:after="80"/>
      </w:pPr>
      <w:r>
        <w:rPr>
          <w:color w:val="000000"/>
          <w:sz w:val="20"/>
          <w:szCs w:val="20"/>
        </w:rPr>
        <w:t>Configuration engine supports unlimited configuration entities — no code change needed for new entity types.</w:t>
      </w:r>
    </w:p>
    <w:p w14:paraId="085516FC">
      <w:pPr>
        <w:pStyle w:val="16"/>
        <w:numPr>
          <w:ilvl w:val="0"/>
          <w:numId w:val="1"/>
        </w:numPr>
        <w:spacing w:after="80"/>
      </w:pPr>
      <w:r>
        <w:rPr>
          <w:color w:val="000000"/>
          <w:sz w:val="20"/>
          <w:szCs w:val="20"/>
        </w:rPr>
        <w:t>System must support up to 500 concurrent users without degradation.</w:t>
      </w:r>
    </w:p>
    <w:p w14:paraId="7C551E0C">
      <w:pPr>
        <w:pStyle w:val="16"/>
        <w:numPr>
          <w:ilvl w:val="0"/>
          <w:numId w:val="1"/>
        </w:numPr>
        <w:spacing w:after="80"/>
      </w:pPr>
      <w:r>
        <w:rPr>
          <w:color w:val="000000"/>
          <w:sz w:val="20"/>
          <w:szCs w:val="20"/>
        </w:rPr>
        <w:t>Asset Ownership Registry must support up to 1 million asset records.</w:t>
      </w:r>
    </w:p>
    <w:p w14:paraId="14D6AA72">
      <w:pPr>
        <w:spacing w:before="100"/>
      </w:pPr>
    </w:p>
    <w:p w14:paraId="4018E5A2">
      <w:pPr>
        <w:pStyle w:val="3"/>
        <w:spacing w:before="320" w:after="160"/>
      </w:pPr>
      <w:bookmarkStart w:id="34" w:name="_Toc1448653546"/>
      <w:r>
        <w:t>7.4 Data Integrity</w:t>
      </w:r>
      <w:bookmarkEnd w:id="34"/>
    </w:p>
    <w:p w14:paraId="0CB5BE0A">
      <w:pPr>
        <w:pStyle w:val="16"/>
        <w:numPr>
          <w:ilvl w:val="0"/>
          <w:numId w:val="1"/>
        </w:numPr>
        <w:spacing w:after="80"/>
      </w:pPr>
      <w:r>
        <w:rPr>
          <w:color w:val="000000"/>
          <w:sz w:val="20"/>
          <w:szCs w:val="20"/>
        </w:rPr>
        <w:t>All ownership records, BPV histories, configuration versions, and reward calculations are append-only — immutable logs.</w:t>
      </w:r>
    </w:p>
    <w:p w14:paraId="1193B48A">
      <w:pPr>
        <w:pStyle w:val="16"/>
        <w:numPr>
          <w:ilvl w:val="0"/>
          <w:numId w:val="1"/>
        </w:numPr>
        <w:spacing w:after="80"/>
      </w:pPr>
      <w:r>
        <w:rPr>
          <w:color w:val="000000"/>
          <w:sz w:val="20"/>
          <w:szCs w:val="20"/>
        </w:rPr>
        <w:t>Historical calculations always use the configuration version that was active at the time of calculation.</w:t>
      </w:r>
    </w:p>
    <w:p w14:paraId="50EBB7D0">
      <w:pPr>
        <w:pStyle w:val="16"/>
        <w:numPr>
          <w:ilvl w:val="0"/>
          <w:numId w:val="1"/>
        </w:numPr>
        <w:spacing w:after="80"/>
      </w:pPr>
      <w:r>
        <w:rPr>
          <w:color w:val="000000"/>
          <w:sz w:val="20"/>
          <w:szCs w:val="20"/>
        </w:rPr>
        <w:t>No permanent deletion of any business record — archival only.</w:t>
      </w:r>
    </w:p>
    <w:p w14:paraId="48599F86">
      <w:pPr>
        <w:spacing w:before="100"/>
      </w:pPr>
    </w:p>
    <w:p w14:paraId="1DD7B12E">
      <w:pPr>
        <w:pStyle w:val="3"/>
        <w:spacing w:before="320" w:after="160"/>
      </w:pPr>
      <w:bookmarkStart w:id="35" w:name="_Toc1498041583"/>
      <w:r>
        <w:t>7.5 Auditability</w:t>
      </w:r>
      <w:bookmarkEnd w:id="35"/>
    </w:p>
    <w:p w14:paraId="37B319B2">
      <w:pPr>
        <w:pStyle w:val="16"/>
        <w:numPr>
          <w:ilvl w:val="0"/>
          <w:numId w:val="1"/>
        </w:numPr>
        <w:spacing w:after="80"/>
      </w:pPr>
      <w:r>
        <w:rPr>
          <w:color w:val="000000"/>
          <w:sz w:val="20"/>
          <w:szCs w:val="20"/>
        </w:rPr>
        <w:t>Every configuration change is logged with: changed field, old value, new value, effective date, changed by, reason.</w:t>
      </w:r>
    </w:p>
    <w:p w14:paraId="7BD6F777">
      <w:pPr>
        <w:pStyle w:val="16"/>
        <w:numPr>
          <w:ilvl w:val="0"/>
          <w:numId w:val="1"/>
        </w:numPr>
        <w:spacing w:after="80"/>
      </w:pPr>
      <w:r>
        <w:rPr>
          <w:color w:val="000000"/>
          <w:sz w:val="20"/>
          <w:szCs w:val="20"/>
        </w:rPr>
        <w:t>Every BPV recalculation is logged with: snapshot of config used, input values, output score, timestamp.</w:t>
      </w:r>
    </w:p>
    <w:p w14:paraId="3F0247F3">
      <w:pPr>
        <w:pStyle w:val="16"/>
        <w:numPr>
          <w:ilvl w:val="0"/>
          <w:numId w:val="1"/>
        </w:numPr>
        <w:spacing w:after="80"/>
      </w:pPr>
      <w:r>
        <w:rPr>
          <w:color w:val="000000"/>
          <w:sz w:val="20"/>
          <w:szCs w:val="20"/>
        </w:rPr>
        <w:t>Every reward calculation is logged with: formula version, inputs, output, approver.</w:t>
      </w:r>
    </w:p>
    <w:p w14:paraId="2DCEC573">
      <w:r>
        <w:br w:type="page"/>
      </w:r>
    </w:p>
    <w:p w14:paraId="731D93F4">
      <w:pPr>
        <w:pStyle w:val="2"/>
        <w:pBdr>
          <w:bottom w:val="single" w:color="2E75B6" w:sz="8" w:space="0"/>
        </w:pBdr>
        <w:spacing w:before="480" w:after="200"/>
      </w:pPr>
      <w:bookmarkStart w:id="36" w:name="_Toc486608053"/>
      <w:r>
        <w:t>8. User Roles and Access</w:t>
      </w:r>
      <w:bookmarkEnd w:id="36"/>
    </w:p>
    <w:p w14:paraId="232988F7">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3"/>
        <w:gridCol w:w="4188"/>
        <w:gridCol w:w="3279"/>
      </w:tblGrid>
      <w:tr w14:paraId="313E19E0">
        <w:trPr>
          <w:tblHeader/>
        </w:trPr>
        <w:tc>
          <w:tcPr>
            <w:tcW w:w="2000" w:type="dxa"/>
            <w:shd w:val="clear" w:color="auto" w:fill="1F4E79"/>
          </w:tcPr>
          <w:p w14:paraId="7FF47B83">
            <w:r>
              <w:rPr>
                <w:b/>
                <w:bCs/>
                <w:color w:val="FFFFFF"/>
                <w:sz w:val="20"/>
                <w:szCs w:val="20"/>
              </w:rPr>
              <w:t>Role</w:t>
            </w:r>
          </w:p>
        </w:tc>
        <w:tc>
          <w:tcPr>
            <w:tcW w:w="4500" w:type="dxa"/>
            <w:shd w:val="clear" w:color="auto" w:fill="1F4E79"/>
          </w:tcPr>
          <w:p w14:paraId="0644E520">
            <w:r>
              <w:rPr>
                <w:b/>
                <w:bCs/>
                <w:color w:val="FFFFFF"/>
                <w:sz w:val="20"/>
                <w:szCs w:val="20"/>
              </w:rPr>
              <w:t>Configuration Access</w:t>
            </w:r>
          </w:p>
        </w:tc>
        <w:tc>
          <w:tcPr>
            <w:tcW w:w="3500" w:type="dxa"/>
            <w:shd w:val="clear" w:color="auto" w:fill="1F4E79"/>
          </w:tcPr>
          <w:p w14:paraId="131BA97A">
            <w:r>
              <w:rPr>
                <w:b/>
                <w:bCs/>
                <w:color w:val="FFFFFF"/>
                <w:sz w:val="20"/>
                <w:szCs w:val="20"/>
              </w:rPr>
              <w:t>Operational Access</w:t>
            </w:r>
          </w:p>
        </w:tc>
      </w:tr>
      <w:tr w14:paraId="36DCE74A">
        <w:tc>
          <w:tcPr>
            <w:tcW w:w="2000" w:type="dxa"/>
            <w:shd w:val="clear" w:color="auto" w:fill="FFFFFF"/>
          </w:tcPr>
          <w:p w14:paraId="5A958ECC">
            <w:r>
              <w:rPr>
                <w:sz w:val="20"/>
                <w:szCs w:val="20"/>
              </w:rPr>
              <w:t>Employee</w:t>
            </w:r>
          </w:p>
        </w:tc>
        <w:tc>
          <w:tcPr>
            <w:tcW w:w="4500" w:type="dxa"/>
            <w:shd w:val="clear" w:color="auto" w:fill="FFFFFF"/>
          </w:tcPr>
          <w:p w14:paraId="7EE919B1">
            <w:r>
              <w:rPr>
                <w:sz w:val="20"/>
                <w:szCs w:val="20"/>
              </w:rPr>
              <w:t>None</w:t>
            </w:r>
          </w:p>
        </w:tc>
        <w:tc>
          <w:tcPr>
            <w:tcW w:w="3500" w:type="dxa"/>
            <w:shd w:val="clear" w:color="auto" w:fill="FFFFFF"/>
          </w:tcPr>
          <w:p w14:paraId="1B18DF90">
            <w:r>
              <w:rPr>
                <w:sz w:val="20"/>
                <w:szCs w:val="20"/>
              </w:rPr>
              <w:t>Own profile, task reporting, time logging, asset registration, beneficiary nomination</w:t>
            </w:r>
          </w:p>
        </w:tc>
      </w:tr>
      <w:tr w14:paraId="77ABC136">
        <w:tc>
          <w:tcPr>
            <w:tcW w:w="2000" w:type="dxa"/>
            <w:shd w:val="clear" w:color="auto" w:fill="F2F2F2"/>
          </w:tcPr>
          <w:p w14:paraId="4460BB0D">
            <w:r>
              <w:rPr>
                <w:sz w:val="20"/>
                <w:szCs w:val="20"/>
              </w:rPr>
              <w:t>Manager</w:t>
            </w:r>
          </w:p>
        </w:tc>
        <w:tc>
          <w:tcPr>
            <w:tcW w:w="4500" w:type="dxa"/>
            <w:shd w:val="clear" w:color="auto" w:fill="F2F2F2"/>
          </w:tcPr>
          <w:p w14:paraId="760C8D48">
            <w:r>
              <w:rPr>
                <w:sz w:val="20"/>
                <w:szCs w:val="20"/>
              </w:rPr>
              <w:t>Task Category benchmarks (own team)</w:t>
            </w:r>
          </w:p>
        </w:tc>
        <w:tc>
          <w:tcPr>
            <w:tcW w:w="3500" w:type="dxa"/>
            <w:shd w:val="clear" w:color="auto" w:fill="F2F2F2"/>
          </w:tcPr>
          <w:p w14:paraId="6985F668">
            <w:r>
              <w:rPr>
                <w:sz w:val="20"/>
                <w:szCs w:val="20"/>
              </w:rPr>
              <w:t>Assign tasks, review delivery, rate quality, view team efficiency</w:t>
            </w:r>
          </w:p>
        </w:tc>
      </w:tr>
      <w:tr w14:paraId="5C4EBDE9">
        <w:tc>
          <w:tcPr>
            <w:tcW w:w="2000" w:type="dxa"/>
            <w:shd w:val="clear" w:color="auto" w:fill="FFFFFF"/>
          </w:tcPr>
          <w:p w14:paraId="30EE8CD9">
            <w:r>
              <w:rPr>
                <w:sz w:val="20"/>
                <w:szCs w:val="20"/>
              </w:rPr>
              <w:t>HR Admin</w:t>
            </w:r>
          </w:p>
        </w:tc>
        <w:tc>
          <w:tcPr>
            <w:tcW w:w="4500" w:type="dxa"/>
            <w:shd w:val="clear" w:color="auto" w:fill="FFFFFF"/>
          </w:tcPr>
          <w:p w14:paraId="1623DE0E">
            <w:r>
              <w:rPr>
                <w:sz w:val="20"/>
                <w:szCs w:val="20"/>
              </w:rPr>
              <w:t>All HR config entities — BPV, scoring, grades, tiers, asset types, compliance, beneficiary types</w:t>
            </w:r>
          </w:p>
        </w:tc>
        <w:tc>
          <w:tcPr>
            <w:tcW w:w="3500" w:type="dxa"/>
            <w:shd w:val="clear" w:color="auto" w:fill="FFFFFF"/>
          </w:tcPr>
          <w:p w14:paraId="616632A9">
            <w:r>
              <w:rPr>
                <w:sz w:val="20"/>
                <w:szCs w:val="20"/>
              </w:rPr>
              <w:t>All employee profiles, reward nominations, compliance reports</w:t>
            </w:r>
          </w:p>
        </w:tc>
      </w:tr>
      <w:tr w14:paraId="43A3ECB2">
        <w:tc>
          <w:tcPr>
            <w:tcW w:w="2000" w:type="dxa"/>
            <w:shd w:val="clear" w:color="auto" w:fill="F2F2F2"/>
          </w:tcPr>
          <w:p w14:paraId="612E1B44">
            <w:r>
              <w:rPr>
                <w:sz w:val="20"/>
                <w:szCs w:val="20"/>
              </w:rPr>
              <w:t>Finance Admin</w:t>
            </w:r>
          </w:p>
        </w:tc>
        <w:tc>
          <w:tcPr>
            <w:tcW w:w="4500" w:type="dxa"/>
            <w:shd w:val="clear" w:color="auto" w:fill="F2F2F2"/>
          </w:tcPr>
          <w:p w14:paraId="3C8FF6A1">
            <w:r>
              <w:rPr>
                <w:sz w:val="20"/>
                <w:szCs w:val="20"/>
              </w:rPr>
              <w:t>Salary band, reward formula, reward cap, currency, jurisdiction</w:t>
            </w:r>
          </w:p>
        </w:tc>
        <w:tc>
          <w:tcPr>
            <w:tcW w:w="3500" w:type="dxa"/>
            <w:shd w:val="clear" w:color="auto" w:fill="F2F2F2"/>
          </w:tcPr>
          <w:p w14:paraId="4CBEF062">
            <w:r>
              <w:rPr>
                <w:sz w:val="20"/>
                <w:szCs w:val="20"/>
              </w:rPr>
              <w:t>Salary reports, reward calculations, beneficiary payout routing</w:t>
            </w:r>
          </w:p>
        </w:tc>
      </w:tr>
      <w:tr w14:paraId="61ABD29D">
        <w:tc>
          <w:tcPr>
            <w:tcW w:w="2000" w:type="dxa"/>
            <w:shd w:val="clear" w:color="auto" w:fill="FFFFFF"/>
          </w:tcPr>
          <w:p w14:paraId="12C4C254">
            <w:r>
              <w:rPr>
                <w:sz w:val="20"/>
                <w:szCs w:val="20"/>
              </w:rPr>
              <w:t>System Admin</w:t>
            </w:r>
          </w:p>
        </w:tc>
        <w:tc>
          <w:tcPr>
            <w:tcW w:w="4500" w:type="dxa"/>
            <w:shd w:val="clear" w:color="auto" w:fill="FFFFFF"/>
          </w:tcPr>
          <w:p w14:paraId="719A69AA">
            <w:r>
              <w:rPr>
                <w:sz w:val="20"/>
                <w:szCs w:val="20"/>
              </w:rPr>
              <w:t>All configuration entities</w:t>
            </w:r>
          </w:p>
        </w:tc>
        <w:tc>
          <w:tcPr>
            <w:tcW w:w="3500" w:type="dxa"/>
            <w:shd w:val="clear" w:color="auto" w:fill="FFFFFF"/>
          </w:tcPr>
          <w:p w14:paraId="2496E342">
            <w:r>
              <w:rPr>
                <w:sz w:val="20"/>
                <w:szCs w:val="20"/>
              </w:rPr>
              <w:t>User management, audit log, system-wide settings, notification config</w:t>
            </w:r>
          </w:p>
        </w:tc>
      </w:tr>
    </w:tbl>
    <w:p w14:paraId="475F92E6">
      <w:r>
        <w:br w:type="page"/>
      </w:r>
    </w:p>
    <w:p w14:paraId="5F195F51">
      <w:pPr>
        <w:pStyle w:val="2"/>
        <w:pBdr>
          <w:bottom w:val="single" w:color="2E75B6" w:sz="8" w:space="0"/>
        </w:pBdr>
        <w:spacing w:before="480" w:after="200"/>
      </w:pPr>
      <w:bookmarkStart w:id="37" w:name="_Toc803818995"/>
      <w:r>
        <w:t>9. Expected Business Benefits</w:t>
      </w:r>
      <w:bookmarkEnd w:id="37"/>
    </w:p>
    <w:p w14:paraId="6EE0AE3A">
      <w:pPr>
        <w:pStyle w:val="16"/>
        <w:numPr>
          <w:ilvl w:val="0"/>
          <w:numId w:val="1"/>
        </w:numPr>
        <w:spacing w:after="80"/>
      </w:pPr>
      <w:r>
        <w:rPr>
          <w:color w:val="000000"/>
          <w:sz w:val="20"/>
          <w:szCs w:val="20"/>
        </w:rPr>
        <w:t>Rewards professional expertise and knowledge rather than time spent.</w:t>
      </w:r>
    </w:p>
    <w:p w14:paraId="4FA3D02A">
      <w:pPr>
        <w:pStyle w:val="16"/>
        <w:numPr>
          <w:ilvl w:val="0"/>
          <w:numId w:val="1"/>
        </w:numPr>
        <w:spacing w:after="80"/>
      </w:pPr>
      <w:r>
        <w:rPr>
          <w:color w:val="000000"/>
          <w:sz w:val="20"/>
          <w:szCs w:val="20"/>
        </w:rPr>
        <w:t>Encourages faster, high-quality task completion through Efficiency Scoring.</w:t>
      </w:r>
    </w:p>
    <w:p w14:paraId="603BC497">
      <w:pPr>
        <w:pStyle w:val="16"/>
        <w:numPr>
          <w:ilvl w:val="0"/>
          <w:numId w:val="1"/>
        </w:numPr>
        <w:spacing w:after="80"/>
      </w:pPr>
      <w:r>
        <w:rPr>
          <w:color w:val="000000"/>
          <w:sz w:val="20"/>
          <w:szCs w:val="20"/>
        </w:rPr>
        <w:t>Aligns compensation with real professional value via the BPV Engine.</w:t>
      </w:r>
    </w:p>
    <w:p w14:paraId="4E344756">
      <w:pPr>
        <w:pStyle w:val="16"/>
        <w:numPr>
          <w:ilvl w:val="0"/>
          <w:numId w:val="1"/>
        </w:numPr>
        <w:spacing w:after="80"/>
      </w:pPr>
      <w:r>
        <w:rPr>
          <w:color w:val="000000"/>
          <w:sz w:val="20"/>
          <w:szCs w:val="20"/>
        </w:rPr>
        <w:t>Improves accountability for all organizational digital assets through the Ownership Registry.</w:t>
      </w:r>
    </w:p>
    <w:p w14:paraId="0761BE4F">
      <w:pPr>
        <w:pStyle w:val="16"/>
        <w:numPr>
          <w:ilvl w:val="0"/>
          <w:numId w:val="1"/>
        </w:numPr>
        <w:spacing w:after="80"/>
      </w:pPr>
      <w:r>
        <w:rPr>
          <w:color w:val="000000"/>
          <w:sz w:val="20"/>
          <w:szCs w:val="20"/>
        </w:rPr>
        <w:t>Ensures knowledge and authorship are never lost — even after an employee exits.</w:t>
      </w:r>
    </w:p>
    <w:p w14:paraId="29B92384">
      <w:pPr>
        <w:pStyle w:val="16"/>
        <w:numPr>
          <w:ilvl w:val="0"/>
          <w:numId w:val="1"/>
        </w:numPr>
        <w:spacing w:after="80"/>
      </w:pPr>
      <w:r>
        <w:rPr>
          <w:color w:val="000000"/>
          <w:sz w:val="20"/>
          <w:szCs w:val="20"/>
        </w:rPr>
        <w:t>Enforces documentation discipline, reducing knowledge debt and maintenance risk.</w:t>
      </w:r>
    </w:p>
    <w:p w14:paraId="1AB71281">
      <w:pPr>
        <w:pStyle w:val="16"/>
        <w:numPr>
          <w:ilvl w:val="0"/>
          <w:numId w:val="1"/>
        </w:numPr>
        <w:spacing w:after="80"/>
      </w:pPr>
      <w:r>
        <w:rPr>
          <w:color w:val="000000"/>
          <w:sz w:val="20"/>
          <w:szCs w:val="20"/>
        </w:rPr>
        <w:t>Strengthens long-term employee engagement through configurable, asset-linked rewards.</w:t>
      </w:r>
    </w:p>
    <w:p w14:paraId="1114D7C2">
      <w:pPr>
        <w:pStyle w:val="16"/>
        <w:numPr>
          <w:ilvl w:val="0"/>
          <w:numId w:val="1"/>
        </w:numPr>
        <w:spacing w:after="80"/>
      </w:pPr>
      <w:r>
        <w:rPr>
          <w:color w:val="000000"/>
          <w:sz w:val="20"/>
          <w:szCs w:val="20"/>
        </w:rPr>
        <w:t>Policy changes are fully in HR/Finance control — no developer dependency for rule updates.</w:t>
      </w:r>
    </w:p>
    <w:p w14:paraId="72C92CAE">
      <w:pPr>
        <w:pStyle w:val="16"/>
        <w:numPr>
          <w:ilvl w:val="0"/>
          <w:numId w:val="1"/>
        </w:numPr>
        <w:spacing w:after="80"/>
      </w:pPr>
      <w:r>
        <w:rPr>
          <w:color w:val="000000"/>
          <w:sz w:val="20"/>
          <w:szCs w:val="20"/>
        </w:rPr>
        <w:t>Scales with organizational growth — new skill types, asset categories, reward types, and jurisdictions are added through configuration, not code.</w:t>
      </w:r>
    </w:p>
    <w:p w14:paraId="2BD08D84">
      <w:r>
        <w:br w:type="page"/>
      </w:r>
    </w:p>
    <w:p w14:paraId="6C74B710">
      <w:pPr>
        <w:pStyle w:val="2"/>
        <w:pBdr>
          <w:bottom w:val="single" w:color="2E75B6" w:sz="8" w:space="0"/>
        </w:pBdr>
        <w:spacing w:before="480" w:after="200"/>
      </w:pPr>
      <w:bookmarkStart w:id="38" w:name="_Toc2113709335"/>
      <w:r>
        <w:t>10. Document Control</w:t>
      </w:r>
      <w:bookmarkEnd w:id="38"/>
    </w:p>
    <w:p w14:paraId="35BBFA25">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55"/>
        <w:gridCol w:w="6505"/>
      </w:tblGrid>
      <w:tr w14:paraId="53443804">
        <w:tc>
          <w:tcPr>
            <w:tcW w:w="3000" w:type="dxa"/>
            <w:shd w:val="clear" w:color="auto" w:fill="D6E4F0"/>
          </w:tcPr>
          <w:p w14:paraId="2BF72D02">
            <w:r>
              <w:rPr>
                <w:b/>
                <w:bCs/>
                <w:color w:val="1F4E79"/>
                <w:sz w:val="20"/>
                <w:szCs w:val="20"/>
              </w:rPr>
              <w:t>Document Title</w:t>
            </w:r>
          </w:p>
        </w:tc>
        <w:tc>
          <w:tcPr>
            <w:tcW w:w="7000" w:type="dxa"/>
          </w:tcPr>
          <w:p w14:paraId="11050CFD">
            <w:r>
              <w:rPr>
                <w:sz w:val="20"/>
                <w:szCs w:val="20"/>
              </w:rPr>
              <w:t>HRMS — Solution Design Document</w:t>
            </w:r>
          </w:p>
        </w:tc>
      </w:tr>
      <w:tr w14:paraId="4D7042E9">
        <w:tc>
          <w:tcPr>
            <w:tcW w:w="3000" w:type="dxa"/>
            <w:shd w:val="clear" w:color="auto" w:fill="D6E4F0"/>
          </w:tcPr>
          <w:p w14:paraId="2E099209">
            <w:r>
              <w:rPr>
                <w:b/>
                <w:bCs/>
                <w:color w:val="1F4E79"/>
                <w:sz w:val="20"/>
                <w:szCs w:val="20"/>
              </w:rPr>
              <w:t>Version</w:t>
            </w:r>
          </w:p>
        </w:tc>
        <w:tc>
          <w:tcPr>
            <w:tcW w:w="7000" w:type="dxa"/>
          </w:tcPr>
          <w:p w14:paraId="21CEC240">
            <w:r>
              <w:rPr>
                <w:sz w:val="20"/>
                <w:szCs w:val="20"/>
              </w:rPr>
              <w:t>v2.0</w:t>
            </w:r>
          </w:p>
        </w:tc>
      </w:tr>
      <w:tr w14:paraId="28F6D1D6">
        <w:tc>
          <w:tcPr>
            <w:tcW w:w="3000" w:type="dxa"/>
            <w:shd w:val="clear" w:color="auto" w:fill="D6E4F0"/>
          </w:tcPr>
          <w:p w14:paraId="28490128">
            <w:r>
              <w:rPr>
                <w:b/>
                <w:bCs/>
                <w:color w:val="1F4E79"/>
                <w:sz w:val="20"/>
                <w:szCs w:val="20"/>
              </w:rPr>
              <w:t>Previous Version</w:t>
            </w:r>
          </w:p>
        </w:tc>
        <w:tc>
          <w:tcPr>
            <w:tcW w:w="7000" w:type="dxa"/>
          </w:tcPr>
          <w:p w14:paraId="1FB43658">
            <w:r>
              <w:rPr>
                <w:sz w:val="20"/>
                <w:szCs w:val="20"/>
              </w:rPr>
              <w:t>v1.0 — Initial SDD</w:t>
            </w:r>
          </w:p>
        </w:tc>
      </w:tr>
      <w:tr w14:paraId="6578B911">
        <w:tc>
          <w:tcPr>
            <w:tcW w:w="3000" w:type="dxa"/>
            <w:shd w:val="clear" w:color="auto" w:fill="D6E4F0"/>
          </w:tcPr>
          <w:p w14:paraId="5AA0F0FE">
            <w:r>
              <w:rPr>
                <w:b/>
                <w:bCs/>
                <w:color w:val="1F4E79"/>
                <w:sz w:val="20"/>
                <w:szCs w:val="20"/>
              </w:rPr>
              <w:t>Key Change in v2.0</w:t>
            </w:r>
          </w:p>
        </w:tc>
        <w:tc>
          <w:tcPr>
            <w:tcW w:w="7000" w:type="dxa"/>
          </w:tcPr>
          <w:p w14:paraId="5CB59210">
            <w:r>
              <w:rPr>
                <w:sz w:val="20"/>
                <w:szCs w:val="20"/>
              </w:rPr>
              <w:t>Metadata-Driven Architecture added as foundational principle; full Configuration Entity Catalog added; all module specs updated to reference config entities</w:t>
            </w:r>
          </w:p>
        </w:tc>
      </w:tr>
      <w:tr w14:paraId="08D881BC">
        <w:tc>
          <w:tcPr>
            <w:tcW w:w="3000" w:type="dxa"/>
            <w:shd w:val="clear" w:color="auto" w:fill="D6E4F0"/>
          </w:tcPr>
          <w:p w14:paraId="491587C0">
            <w:r>
              <w:rPr>
                <w:b/>
                <w:bCs/>
                <w:color w:val="1F4E79"/>
                <w:sz w:val="20"/>
                <w:szCs w:val="20"/>
              </w:rPr>
              <w:t>Status</w:t>
            </w:r>
          </w:p>
        </w:tc>
        <w:tc>
          <w:tcPr>
            <w:tcW w:w="7000" w:type="dxa"/>
          </w:tcPr>
          <w:p w14:paraId="2FA9001F">
            <w:r>
              <w:rPr>
                <w:sz w:val="20"/>
                <w:szCs w:val="20"/>
              </w:rPr>
              <w:t>Draft — For Review</w:t>
            </w:r>
          </w:p>
        </w:tc>
      </w:tr>
      <w:tr w14:paraId="43D65953">
        <w:tc>
          <w:tcPr>
            <w:tcW w:w="3000" w:type="dxa"/>
            <w:shd w:val="clear" w:color="auto" w:fill="D6E4F0"/>
          </w:tcPr>
          <w:p w14:paraId="31BC4DC2">
            <w:r>
              <w:rPr>
                <w:b/>
                <w:bCs/>
                <w:color w:val="1F4E79"/>
                <w:sz w:val="20"/>
                <w:szCs w:val="20"/>
              </w:rPr>
              <w:t>Prepared Date</w:t>
            </w:r>
          </w:p>
        </w:tc>
        <w:tc>
          <w:tcPr>
            <w:tcW w:w="7000" w:type="dxa"/>
          </w:tcPr>
          <w:p w14:paraId="25B7AA60">
            <w:r>
              <w:rPr>
                <w:sz w:val="20"/>
                <w:szCs w:val="20"/>
              </w:rPr>
              <w:t>July 2026</w:t>
            </w:r>
          </w:p>
        </w:tc>
      </w:tr>
      <w:tr w14:paraId="1A34F967">
        <w:tc>
          <w:tcPr>
            <w:tcW w:w="3000" w:type="dxa"/>
            <w:shd w:val="clear" w:color="auto" w:fill="D6E4F0"/>
          </w:tcPr>
          <w:p w14:paraId="3BCB3E8C">
            <w:r>
              <w:rPr>
                <w:b/>
                <w:bCs/>
                <w:color w:val="1F4E79"/>
                <w:sz w:val="20"/>
                <w:szCs w:val="20"/>
              </w:rPr>
              <w:t>Classification</w:t>
            </w:r>
          </w:p>
        </w:tc>
        <w:tc>
          <w:tcPr>
            <w:tcW w:w="7000" w:type="dxa"/>
          </w:tcPr>
          <w:p w14:paraId="6F651184">
            <w:r>
              <w:rPr>
                <w:sz w:val="20"/>
                <w:szCs w:val="20"/>
              </w:rPr>
              <w:t>Confidential</w:t>
            </w:r>
          </w:p>
        </w:tc>
      </w:tr>
      <w:tr w14:paraId="16F1F0B3">
        <w:tc>
          <w:tcPr>
            <w:tcW w:w="3000" w:type="dxa"/>
            <w:shd w:val="clear" w:color="auto" w:fill="D6E4F0"/>
          </w:tcPr>
          <w:p w14:paraId="5277F2A5">
            <w:r>
              <w:rPr>
                <w:b/>
                <w:bCs/>
                <w:color w:val="1F4E79"/>
                <w:sz w:val="20"/>
                <w:szCs w:val="20"/>
              </w:rPr>
              <w:t>Project</w:t>
            </w:r>
          </w:p>
        </w:tc>
        <w:tc>
          <w:tcPr>
            <w:tcW w:w="7000" w:type="dxa"/>
          </w:tcPr>
          <w:p w14:paraId="1F1AD035">
            <w:r>
              <w:rPr>
                <w:sz w:val="20"/>
                <w:szCs w:val="20"/>
              </w:rPr>
              <w:t>Custom ERP HRMS — Built from Scratch</w:t>
            </w:r>
          </w:p>
        </w:tc>
      </w:tr>
      <w:tr w14:paraId="6FF9B0EE">
        <w:tc>
          <w:tcPr>
            <w:tcW w:w="3000" w:type="dxa"/>
            <w:shd w:val="clear" w:color="auto" w:fill="D6E4F0"/>
          </w:tcPr>
          <w:p w14:paraId="70DBA5F0">
            <w:r>
              <w:rPr>
                <w:b/>
                <w:bCs/>
                <w:color w:val="1F4E79"/>
                <w:sz w:val="20"/>
                <w:szCs w:val="20"/>
              </w:rPr>
              <w:t>Next Review</w:t>
            </w:r>
          </w:p>
        </w:tc>
        <w:tc>
          <w:tcPr>
            <w:tcW w:w="7000" w:type="dxa"/>
          </w:tcPr>
          <w:p w14:paraId="0F037EF0">
            <w:r>
              <w:rPr>
                <w:sz w:val="20"/>
                <w:szCs w:val="20"/>
              </w:rPr>
              <w:t>To be scheduled post stakeholder review</w:t>
            </w:r>
          </w:p>
        </w:tc>
      </w:tr>
    </w:tbl>
    <w:p w14:paraId="5E08D9B5">
      <w:pPr>
        <w:spacing w:before="400"/>
      </w:pPr>
    </w:p>
    <w:p w14:paraId="207D1940">
      <w:pPr>
        <w:spacing w:after="160"/>
        <w:jc w:val="both"/>
      </w:pPr>
      <w:r>
        <w:rPr>
          <w:i/>
          <w:iCs/>
          <w:color w:val="404040"/>
          <w:sz w:val="20"/>
          <w:szCs w:val="20"/>
        </w:rPr>
        <w:t>This document is subject to change as requirements are refined and stakeholder feedback is incorporated. All changes will be versioned and tracked.</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CAA01">
    <w:pPr>
      <w:pBdr>
        <w:top w:val="single" w:color="2E75B6" w:sz="6" w:space="0"/>
      </w:pBdr>
      <w:jc w:val="center"/>
    </w:pPr>
    <w:r>
      <w:rPr>
        <w:color w:val="404040"/>
        <w:sz w:val="18"/>
        <w:szCs w:val="18"/>
      </w:rPr>
      <w:t xml:space="preserve">Page </w:t>
    </w:r>
    <w:r>
      <w:rPr>
        <w:color w:val="404040"/>
        <w:sz w:val="18"/>
        <w:szCs w:val="18"/>
      </w:rPr>
      <w:fldChar w:fldCharType="begin"/>
    </w:r>
    <w:r>
      <w:rPr>
        <w:color w:val="404040"/>
        <w:sz w:val="18"/>
        <w:szCs w:val="18"/>
      </w:rPr>
      <w:instrText xml:space="preserve">PAGE</w:instrText>
    </w:r>
    <w:r>
      <w:rPr>
        <w:color w:val="404040"/>
        <w:sz w:val="18"/>
        <w:szCs w:val="18"/>
      </w:rPr>
      <w:fldChar w:fldCharType="separate"/>
    </w:r>
    <w:r>
      <w:rPr>
        <w:color w:val="404040"/>
        <w:sz w:val="18"/>
        <w:szCs w:val="18"/>
      </w:rPr>
      <w:fldChar w:fldCharType="end"/>
    </w:r>
    <w:r>
      <w:rPr>
        <w:color w:val="404040"/>
        <w:sz w:val="18"/>
        <w:szCs w:val="18"/>
      </w:rPr>
      <w:t xml:space="preserve"> of </w:t>
    </w:r>
    <w:r>
      <w:rPr>
        <w:color w:val="404040"/>
        <w:sz w:val="18"/>
        <w:szCs w:val="18"/>
      </w:rPr>
      <w:fldChar w:fldCharType="begin"/>
    </w:r>
    <w:r>
      <w:rPr>
        <w:color w:val="404040"/>
        <w:sz w:val="18"/>
        <w:szCs w:val="18"/>
      </w:rPr>
      <w:instrText xml:space="preserve">NUMPAGES</w:instrText>
    </w:r>
    <w:r>
      <w:rPr>
        <w:color w:val="404040"/>
        <w:sz w:val="18"/>
        <w:szCs w:val="18"/>
      </w:rPr>
      <w:fldChar w:fldCharType="separate"/>
    </w:r>
    <w:r>
      <w:rPr>
        <w:color w:val="40404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DA5A1">
    <w:pPr>
      <w:pBdr>
        <w:bottom w:val="single" w:color="2E75B6" w:sz="6" w:space="0"/>
      </w:pBdr>
    </w:pPr>
    <w:r>
      <w:rPr>
        <w:color w:val="2E75B6"/>
        <w:sz w:val="18"/>
        <w:szCs w:val="18"/>
      </w:rPr>
      <w:t>HRMS — Solution Design Document  v2.0</w:t>
    </w:r>
    <w:r>
      <w:rPr>
        <w:color w:val="404040"/>
        <w:sz w:val="18"/>
        <w:szCs w:val="18"/>
      </w:rPr>
      <w:t xml:space="preserve">    |    Metadata-Driven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D4170B"/>
    <w:multiLevelType w:val="multilevel"/>
    <w:tmpl w:val="5BD4170B"/>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1"/>
      <w:numFmt w:val="bullet"/>
      <w:lvlText w:val="▪"/>
      <w:lvlJc w:val="left"/>
      <w:pPr>
        <w:ind w:left="14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isplayBackgroundShape w:val="1"/>
  <w:documentProtection w:enforcement="0"/>
  <w:compat>
    <w:compatSetting w:name="compatibilityMode" w:uri="http://schemas.microsoft.com/office/word" w:val="15"/>
  </w:compat>
  <w:rsids>
    <w:rsidRoot w:val="00000000"/>
    <w:rsid w:val="19F7073C"/>
    <w:rsid w:val="EFD74E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000000"/>
      <w:sz w:val="20"/>
      <w:szCs w:val="20"/>
    </w:rPr>
  </w:style>
  <w:style w:type="paragraph" w:styleId="2">
    <w:name w:val="heading 1"/>
    <w:next w:val="1"/>
    <w:qFormat/>
    <w:uiPriority w:val="0"/>
    <w:pPr>
      <w:spacing w:before="480" w:after="200"/>
      <w:outlineLvl w:val="0"/>
    </w:pPr>
    <w:rPr>
      <w:rFonts w:ascii="Calibri" w:hAnsi="Calibri" w:eastAsia="Calibri" w:cs="Calibri"/>
      <w:b/>
      <w:bCs/>
      <w:color w:val="1F4E79"/>
      <w:sz w:val="28"/>
      <w:szCs w:val="28"/>
    </w:rPr>
  </w:style>
  <w:style w:type="paragraph" w:styleId="3">
    <w:name w:val="heading 2"/>
    <w:next w:val="1"/>
    <w:qFormat/>
    <w:uiPriority w:val="0"/>
    <w:pPr>
      <w:spacing w:before="320" w:after="160"/>
      <w:outlineLvl w:val="1"/>
    </w:pPr>
    <w:rPr>
      <w:rFonts w:ascii="Calibri" w:hAnsi="Calibri" w:eastAsia="Calibri" w:cs="Calibri"/>
      <w:b/>
      <w:bCs/>
      <w:color w:val="2E75B6"/>
      <w:sz w:val="24"/>
      <w:szCs w:val="24"/>
    </w:rPr>
  </w:style>
  <w:style w:type="paragraph" w:styleId="4">
    <w:name w:val="heading 3"/>
    <w:next w:val="1"/>
    <w:qFormat/>
    <w:uiPriority w:val="0"/>
    <w:pPr>
      <w:spacing w:before="240" w:after="120"/>
      <w:outlineLvl w:val="2"/>
    </w:pPr>
    <w:rPr>
      <w:rFonts w:ascii="Calibri" w:hAnsi="Calibri" w:eastAsia="Calibri" w:cs="Calibri"/>
      <w:b/>
      <w:bCs/>
      <w:color w:val="404040"/>
      <w:sz w:val="22"/>
      <w:szCs w:val="22"/>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00000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000000"/>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000000"/>
      <w:sz w:val="56"/>
      <w:szCs w:val="56"/>
    </w:rPr>
  </w:style>
  <w:style w:type="paragraph" w:styleId="16">
    <w:name w:val="List Paragraph"/>
    <w:qFormat/>
    <w:uiPriority w:val="0"/>
    <w:rPr>
      <w:rFonts w:ascii="Calibri" w:hAnsi="Calibri" w:eastAsia="Calibri" w:cs="Calibri"/>
      <w:color w:val="000000"/>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 w:type="paragraph" w:customStyle="1" w:styleId="19">
    <w:name w:val="WPSOffice手动目录 1"/>
    <w:uiPriority w:val="0"/>
    <w:pPr>
      <w:ind w:leftChars="0"/>
    </w:pPr>
    <w:rPr>
      <w:sz w:val="20"/>
      <w:szCs w:val="20"/>
    </w:rPr>
  </w:style>
  <w:style w:type="paragraph" w:customStyle="1" w:styleId="20">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3769</Words>
  <Characters>22975</Characters>
  <TotalTime>0</TotalTime>
  <ScaleCrop>false</ScaleCrop>
  <LinksUpToDate>false</LinksUpToDate>
  <CharactersWithSpaces>26307</CharactersWithSpaces>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Sojan Thomas T</cp:lastModifiedBy>
  <dcterms:modified xsi:type="dcterms:W3CDTF">2026-07-07T13:57:37Z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14399571A64472B279B84C6AF95665F7_42</vt:lpwstr>
  </property>
</Properties>
</file>