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MISO Insight Presentation Guide</w:t>
      </w:r>
    </w:p>
    <w:p>
      <w:pPr>
        <w:spacing w:after="400"/>
      </w:pPr>
      <w:r>
        <w:rPr>
          <w:color w:val="595959"/>
          <w:sz w:val="26"/>
        </w:rPr>
        <w:t>Feature Endpoint and Workflow Reference</w:t>
      </w:r>
    </w:p>
    <w:p>
      <w:pPr>
        <w:spacing w:after="140" w:line="274" w:lineRule="auto"/>
      </w:pPr>
      <w:r>
        <w:t>This guide explains how to present and use the MISO Insight package. It covers the user experience, data workflow, endpoint catalog, subscription-key boundary, local-agent handoff, error handling, and the technology stack that supports the application.</w:t>
      </w:r>
    </w:p>
    <w:p>
      <w:pPr>
        <w:spacing w:after="140" w:line="274" w:lineRule="auto"/>
      </w:pPr>
      <w:r>
        <w:rPr>
          <w:b/>
        </w:rPr>
        <w:t xml:space="preserve">Presentation conclusion. </w:t>
      </w:r>
      <w:r>
        <w:t>The main conclusion is simple: MISO Insight turns a natural-language question into a catalog-backed, validated, production-safe MISO data workflow while keeping subscription-key material out of the browser, chat, generated agent file, and source code.</w:t>
      </w:r>
    </w:p>
    <w:p>
      <w:pPr>
        <w:pStyle w:val="Heading1"/>
        <w:keepNext/>
        <w:spacing w:before="280" w:after="120"/>
      </w:pPr>
      <w:r>
        <w:t>Package location and use</w:t>
      </w:r>
    </w:p>
    <w:p>
      <w:pPr>
        <w:spacing w:after="140" w:line="274" w:lineRule="auto"/>
      </w:pPr>
      <w:r>
        <w:t>The application is located at /Users/oluwasojilasaki/Downloads/code/miso-insight 2/miso-insight. The presentation package is in its presentation folder.</w:t>
      </w:r>
    </w:p>
    <w:p>
      <w:pPr>
        <w:spacing w:after="40" w:line="259" w:lineRule="auto"/>
        <w:ind w:left="403" w:hanging="259"/>
      </w:pPr>
      <w:r>
        <w:t xml:space="preserve">•  </w:t>
      </w:r>
      <w:r>
        <w:t>miso-insight-presentation-brief.canvas.tsx is a portable copy of the interactive presentation source.</w:t>
      </w:r>
    </w:p>
    <w:p>
      <w:pPr>
        <w:spacing w:after="40" w:line="259" w:lineRule="auto"/>
        <w:ind w:left="403" w:hanging="259"/>
      </w:pPr>
      <w:r>
        <w:t xml:space="preserve">•  </w:t>
      </w:r>
      <w:r>
        <w:t>MISO Insight Presentation Guide.docx is this Word guide for sharing, printing, or presenting without opening the canvas.</w:t>
      </w:r>
    </w:p>
    <w:p>
      <w:pPr>
        <w:spacing w:after="140" w:line="274" w:lineRule="auto"/>
      </w:pPr>
      <w:r>
        <w:t>To use the interactive version, open the managed MISO Insight presentation canvas in Codex beside the chat. The project copy is preserved as a portable source file; a canvas must remain in Codex's managed canvas directory to run as an interactive canvas.</w:t>
      </w:r>
    </w:p>
    <w:p>
      <w:pPr>
        <w:pStyle w:val="Heading1"/>
        <w:keepNext/>
        <w:spacing w:before="280" w:after="120"/>
      </w:pPr>
      <w:r>
        <w:t>Suggested presentation sequence</w:t>
      </w:r>
    </w:p>
    <w:p>
      <w:pPr>
        <w:spacing w:after="140" w:line="274" w:lineRule="auto"/>
      </w:pPr>
      <w:r>
        <w:rPr>
          <w:b/>
        </w:rPr>
        <w:t xml:space="preserve">1. </w:t>
      </w:r>
      <w:r>
        <w:t>Start with a user question. Show a trader, planner, or developer asking for MISO data or a backend connection.</w:t>
      </w:r>
    </w:p>
    <w:p>
      <w:pPr>
        <w:spacing w:after="140" w:line="274" w:lineRule="auto"/>
      </w:pPr>
      <w:r>
        <w:rPr>
          <w:b/>
        </w:rPr>
        <w:t xml:space="preserve">2. </w:t>
      </w:r>
      <w:r>
        <w:t>Show the catalog match. Explain that the application selects a published MISO operation rather than guessing an endpoint.</w:t>
      </w:r>
    </w:p>
    <w:p>
      <w:pPr>
        <w:spacing w:after="140" w:line="274" w:lineRule="auto"/>
      </w:pPr>
      <w:r>
        <w:rPr>
          <w:b/>
        </w:rPr>
        <w:t xml:space="preserve">3. </w:t>
      </w:r>
      <w:r>
        <w:t>Show parameter collection. Demonstrate how the chat asks for a required date, node, region, interval, or resolution before the call.</w:t>
      </w:r>
    </w:p>
    <w:p>
      <w:pPr>
        <w:spacing w:after="140" w:line="274" w:lineRule="auto"/>
      </w:pPr>
      <w:r>
        <w:rPr>
          <w:b/>
        </w:rPr>
        <w:t xml:space="preserve">4. </w:t>
      </w:r>
      <w:r>
        <w:t>Show results. Use a metric, table, chart, CSV download, code plan, or official legacy report link based on the request.</w:t>
      </w:r>
    </w:p>
    <w:p>
      <w:pPr>
        <w:spacing w:after="140" w:line="274" w:lineRule="auto"/>
      </w:pPr>
      <w:r>
        <w:rPr>
          <w:b/>
        </w:rPr>
        <w:t xml:space="preserve">5. </w:t>
      </w:r>
      <w:r>
        <w:t>Show the secure integration path. Open Subscription Keys, then the local-agent handoff, emphasizing that secrets stay in the backend environment.</w:t>
      </w:r>
    </w:p>
    <w:p>
      <w:pPr>
        <w:spacing w:after="140" w:line="274" w:lineRule="auto"/>
      </w:pPr>
      <w:r>
        <w:rPr>
          <w:b/>
        </w:rPr>
        <w:t xml:space="preserve">6. </w:t>
      </w:r>
      <w:r>
        <w:t>Close with reliability. Run the Integration Lab success path or HTTP 505 path to show catalog validation and safe recovery.</w:t>
      </w:r>
    </w:p>
    <w:p>
      <w:r>
        <w:br w:type="page"/>
      </w:r>
    </w:p>
    <w:p>
      <w:pPr>
        <w:pStyle w:val="Heading1"/>
        <w:keepNext/>
        <w:spacing w:before="280" w:after="120"/>
      </w:pPr>
      <w:r>
        <w:t>Feature overview</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vAlign w:val="center"/>
            <w:shd w:fill="1F4E7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jc w:val="left"/>
            </w:pPr>
            <w:r>
              <w:rPr>
                <w:rFonts w:ascii="Arial" w:hAnsi="Arial"/>
                <w:b/>
                <w:color w:val="FFFFFF"/>
                <w:sz w:val="18"/>
              </w:rPr>
              <w:t>Feature area</w:t>
            </w:r>
          </w:p>
        </w:tc>
        <w:tc>
          <w:tcPr>
            <w:tcW w:type="dxa" w:w="4464"/>
            <w:vAlign w:val="center"/>
            <w:shd w:fill="1F4E7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jc w:val="left"/>
            </w:pPr>
            <w:r>
              <w:rPr>
                <w:rFonts w:ascii="Arial" w:hAnsi="Arial"/>
                <w:b/>
                <w:color w:val="FFFFFF"/>
                <w:sz w:val="18"/>
              </w:rPr>
              <w:t>Implemented capability</w:t>
            </w:r>
          </w:p>
        </w:tc>
        <w:tc>
          <w:tcPr>
            <w:tcW w:type="dxa" w:w="3816"/>
            <w:vAlign w:val="center"/>
            <w:shd w:fill="1F4E7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jc w:val="left"/>
            </w:pPr>
            <w:r>
              <w:rPr>
                <w:rFonts w:ascii="Arial" w:hAnsi="Arial"/>
                <w:b/>
                <w:color w:val="FFFFFF"/>
                <w:sz w:val="18"/>
              </w:rPr>
              <w:t>Why it matters</w:t>
            </w:r>
          </w:p>
        </w:tc>
      </w:tr>
      <w:tr>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Data discovery</w:t>
            </w:r>
          </w:p>
        </w:tc>
        <w:tc>
          <w:tcPr>
            <w:tcW w:type="dxa" w:w="446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Landing-page API groups, searchable directory, contextual Ask MISO AI action, and API-first routing.</w:t>
            </w:r>
          </w:p>
        </w:tc>
        <w:tc>
          <w:tcPr>
            <w:tcW w:type="dxa" w:w="38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Users find pricing, load, generation, interchange, forecast, and outage data without knowing endpoint names.</w:t>
            </w:r>
          </w:p>
        </w:tc>
      </w:tr>
      <w:tr>
        <w:tc>
          <w:tcPr>
            <w:tcW w:type="dxa" w:w="180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Guided MISO chat</w:t>
            </w:r>
          </w:p>
        </w:tc>
        <w:tc>
          <w:tcPr>
            <w:tcW w:type="dxa" w:w="4464"/>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Natural-language resolver, conversation continuity after sign-in, parameter form, and request timeline.</w:t>
            </w:r>
          </w:p>
        </w:tc>
        <w:tc>
          <w:tcPr>
            <w:tcW w:type="dxa" w:w="381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The chat asks for every missing required input before data is requested.</w:t>
            </w:r>
          </w:p>
        </w:tc>
      </w:tr>
      <w:tr>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In-app API documentation</w:t>
            </w:r>
          </w:p>
        </w:tc>
        <w:tc>
          <w:tcPr>
            <w:tcW w:type="dxa" w:w="446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Redesigned operation pages with endpoint detail, parameter explanations, request examples, authentication, pagination, and official MISO links.</w:t>
            </w:r>
          </w:p>
        </w:tc>
        <w:tc>
          <w:tcPr>
            <w:tcW w:type="dxa" w:w="38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Documentation is readable in context while preserving the source of record.</w:t>
            </w:r>
          </w:p>
        </w:tc>
      </w:tr>
      <w:tr>
        <w:tc>
          <w:tcPr>
            <w:tcW w:type="dxa" w:w="180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Reports and migration</w:t>
            </w:r>
          </w:p>
        </w:tc>
        <w:tc>
          <w:tcPr>
            <w:tcW w:type="dxa" w:w="4464"/>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Searchable legacy report library, official links, report-to-API mappings, and API-first recommendation.</w:t>
            </w:r>
          </w:p>
        </w:tc>
        <w:tc>
          <w:tcPr>
            <w:tcW w:type="dxa" w:w="381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Older reports stay discoverable while recurring uses migrate to structured API workflows.</w:t>
            </w:r>
          </w:p>
        </w:tc>
      </w:tr>
      <w:tr>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Results and visualization</w:t>
            </w:r>
          </w:p>
        </w:tc>
        <w:tc>
          <w:tcPr>
            <w:tcW w:type="dxa" w:w="446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Metrics, tables, charts, CSV download, and source indicators.</w:t>
            </w:r>
          </w:p>
        </w:tc>
        <w:tc>
          <w:tcPr>
            <w:tcW w:type="dxa" w:w="38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Users can receive a chart or official file link instead of an endpoint dump.</w:t>
            </w:r>
          </w:p>
        </w:tc>
      </w:tr>
      <w:tr>
        <w:tc>
          <w:tcPr>
            <w:tcW w:type="dxa" w:w="180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Subscription-key safety</w:t>
            </w:r>
          </w:p>
        </w:tc>
        <w:tc>
          <w:tcPr>
            <w:tcW w:type="dxa" w:w="4464"/>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MISO portal handoff, backend secret boundary, non-secret reference records, and user-scoped access controls.</w:t>
            </w:r>
          </w:p>
        </w:tc>
        <w:tc>
          <w:tcPr>
            <w:tcW w:type="dxa" w:w="381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No raw subscription key is accepted, shown, downloaded, or stored by the application.</w:t>
            </w:r>
          </w:p>
        </w:tc>
      </w:tr>
      <w:tr>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Local coding agent</w:t>
            </w:r>
          </w:p>
        </w:tc>
        <w:tc>
          <w:tcPr>
            <w:tcW w:type="dxa" w:w="4464"/>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Downloadable implementation plan with approved endpoint, resolved parameters, selected environment-variable name, sandbox, and review instructions.</w:t>
            </w:r>
          </w:p>
        </w:tc>
        <w:tc>
          <w:tcPr>
            <w:tcW w:type="dxa" w:w="381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A developer can apply a reviewed server-side integration in their own repository.</w:t>
            </w:r>
          </w:p>
        </w:tc>
      </w:tr>
      <w:tr>
        <w:tc>
          <w:tcPr>
            <w:tcW w:type="dxa" w:w="180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Integration lab</w:t>
            </w:r>
          </w:p>
        </w:tc>
        <w:tc>
          <w:tcPr>
            <w:tcW w:type="dxa" w:w="4464"/>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Six external-user personas, web-chat and local-agent transcript, deterministic gateway simulation, and HTTP 505 recovery guidance.</w:t>
            </w:r>
          </w:p>
        </w:tc>
        <w:tc>
          <w:tcPr>
            <w:tcW w:type="dxa" w:w="381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Teams can prove a workflow and troubleshoot before production.</w:t>
            </w:r>
          </w:p>
        </w:tc>
      </w:tr>
    </w:tbl>
    <w:p>
      <w:pPr>
        <w:spacing w:after="40"/>
      </w:pPr>
    </w:p>
    <w:p>
      <w:pPr>
        <w:spacing w:after="140" w:line="274" w:lineRule="auto"/>
      </w:pPr>
      <w:r>
        <w:t>The landing page is intentionally focused on discovery. Detailed exploration is handled in the API directory, documentation pages, reports library, subscription workspace, and Integration Lab rather than overloading the first screen.</w:t>
      </w:r>
    </w:p>
    <w:p>
      <w:pPr>
        <w:pStyle w:val="Heading1"/>
        <w:keepNext/>
        <w:spacing w:before="280" w:after="120"/>
      </w:pPr>
      <w:r>
        <w:t>Workflow and response behavior</w:t>
      </w:r>
    </w:p>
    <w:p>
      <w:pPr>
        <w:spacing w:after="140" w:line="274" w:lineRule="auto"/>
      </w:pPr>
      <w:r>
        <w:t>A question flows through intent resolution, source selection, parameter collection, catalog validation, server-side data execution, and structured delivery. The response can be a metric, table, chart, CSV, API plan, report reference, or a clarification question.</w:t>
      </w:r>
    </w:p>
    <w:p>
      <w:pPr>
        <w:spacing w:after="40" w:line="259" w:lineRule="auto"/>
        <w:ind w:left="403" w:hanging="259"/>
      </w:pPr>
      <w:r>
        <w:t xml:space="preserve">•  </w:t>
      </w:r>
      <w:r>
        <w:t>The chat preserves relevant context and does not repeat a prior market result when the user asks an unrelated question.</w:t>
      </w:r>
    </w:p>
    <w:p>
      <w:pPr>
        <w:spacing w:after="40" w:line="259" w:lineRule="auto"/>
        <w:ind w:left="403" w:hanging="259"/>
      </w:pPr>
      <w:r>
        <w:t xml:space="preserve">•  </w:t>
      </w:r>
      <w:r>
        <w:t>If an older report is explicitly requested, the report library returns an official MISO reference and identifies the corresponding API when one is available.</w:t>
      </w:r>
    </w:p>
    <w:p>
      <w:pPr>
        <w:spacing w:after="40" w:line="259" w:lineRule="auto"/>
        <w:ind w:left="403" w:hanging="259"/>
      </w:pPr>
      <w:r>
        <w:t xml:space="preserve">•  </w:t>
      </w:r>
      <w:r>
        <w:t>MISO market times are presented as Eastern Prevailing Time. The implementation keeps API-provided UTC offsets so repeated fall-clock hours remain distinguishable.</w:t>
      </w:r>
    </w:p>
    <w:p>
      <w:pPr>
        <w:spacing w:after="40" w:line="259" w:lineRule="auto"/>
        <w:ind w:left="403" w:hanging="259"/>
      </w:pPr>
      <w:r>
        <w:t xml:space="preserve">•  </w:t>
      </w:r>
      <w:r>
        <w:t>Pagination follows response metadata so a backend workflow does not silently accept a partial extract.</w:t>
      </w:r>
    </w:p>
    <w:p>
      <w:pPr>
        <w:pStyle w:val="Heading1"/>
        <w:keepNext/>
        <w:spacing w:before="280" w:after="120"/>
      </w:pPr>
      <w:r>
        <w:t>Subscription keys and local agent use</w:t>
      </w:r>
    </w:p>
    <w:p>
      <w:pPr>
        <w:spacing w:after="140" w:line="274" w:lineRule="auto"/>
      </w:pPr>
      <w:r>
        <w:t>Real MISO subscription keys are created, rotated, and revoked in the authenticated MISO Data Exchange portal. MISO Insight provides a safe three-step workflow: open the MISO portal, store the real key in the backend secret environment, then save only a label and environment-variable name in the application.</w:t>
      </w:r>
    </w:p>
    <w:p>
      <w:pPr>
        <w:spacing w:after="40" w:line="259" w:lineRule="auto"/>
        <w:ind w:left="403" w:hanging="259"/>
      </w:pPr>
      <w:r>
        <w:t xml:space="preserve">•  </w:t>
      </w:r>
      <w:r>
        <w:t>The database reference record contains a user ID, label, environment-variable name, status, and timestamps. It never contains a key value.</w:t>
      </w:r>
    </w:p>
    <w:p>
      <w:pPr>
        <w:spacing w:after="40" w:line="259" w:lineRule="auto"/>
        <w:ind w:left="403" w:hanging="259"/>
      </w:pPr>
      <w:r>
        <w:t xml:space="preserve">•  </w:t>
      </w:r>
      <w:r>
        <w:t>The local coding-agent download receives the approved endpoint, resolved parameters, time and retry guidance, and the selected environment-variable name. It does not receive the MISO key, browser session, Supabase token, or user password.</w:t>
      </w:r>
    </w:p>
    <w:p>
      <w:pPr>
        <w:spacing w:after="40" w:line="259" w:lineRule="auto"/>
        <w:ind w:left="403" w:hanging="259"/>
      </w:pPr>
      <w:r>
        <w:t xml:space="preserve">•  </w:t>
      </w:r>
      <w:r>
        <w:t>For a live backend, the server reads process.env.MISO_SUBSCRIPTION_KEY at runtime and sends the Ocp-Apim-Subscription-Key header to MISO. Browser code must not read that value.</w:t>
      </w:r>
    </w:p>
    <w:p>
      <w:pPr>
        <w:pStyle w:val="Heading1"/>
        <w:keepNext/>
        <w:spacing w:before="280" w:after="120"/>
      </w:pPr>
      <w:r>
        <w:t>MISO endpoint catalog</w:t>
      </w:r>
    </w:p>
    <w:p>
      <w:pPr>
        <w:spacing w:after="140" w:line="274" w:lineRule="auto"/>
      </w:pPr>
      <w:r>
        <w:t>Gateway base URL: https://apim.misoenergy.org. The catalog currently contains 32 GET operations: 10 Pricing API operations and 22 Load, Generation, and Interchange API operations. The path column below is appended to the gateway base URL.</w:t>
      </w:r>
    </w:p>
    <w:p>
      <w:pPr>
        <w:spacing w:after="140" w:line="274" w:lineRule="auto"/>
      </w:pPr>
      <w:r>
        <w:t>Authentication is required for protected data operations. The app's backend sends the Ocp-Apim-Subscription-Key header using the MISO_SUBSCRIPTION_KEY environment variable. Optional query parameters are maintained in catalog metadata and validated in the application.</w:t>
      </w:r>
    </w:p>
    <w:p>
      <w:pPr>
        <w:pStyle w:val="Heading2"/>
        <w:keepNext/>
        <w:spacing w:before="200" w:after="120"/>
      </w:pPr>
      <w:r>
        <w:t>Pricing API operations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96"/>
            <w:vAlign w:val="center"/>
            <w:shd w:fill="1F4E7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jc w:val="left"/>
            </w:pPr>
            <w:r>
              <w:rPr>
                <w:rFonts w:ascii="Arial" w:hAnsi="Arial"/>
                <w:b/>
                <w:color w:val="FFFFFF"/>
                <w:sz w:val="18"/>
              </w:rPr>
              <w:t>Operation</w:t>
            </w:r>
          </w:p>
        </w:tc>
        <w:tc>
          <w:tcPr>
            <w:tcW w:type="dxa" w:w="5688"/>
            <w:vAlign w:val="center"/>
            <w:shd w:fill="1F4E7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jc w:val="left"/>
            </w:pPr>
            <w:r>
              <w:rPr>
                <w:rFonts w:ascii="Arial" w:hAnsi="Arial"/>
                <w:b/>
                <w:color w:val="FFFFFF"/>
                <w:sz w:val="18"/>
              </w:rPr>
              <w:t>GET path</w:t>
            </w:r>
          </w:p>
        </w:tc>
        <w:tc>
          <w:tcPr>
            <w:tcW w:type="dxa" w:w="1296"/>
            <w:vAlign w:val="center"/>
            <w:shd w:fill="1F4E7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jc w:val="left"/>
            </w:pPr>
            <w:r>
              <w:rPr>
                <w:rFonts w:ascii="Arial" w:hAnsi="Arial"/>
                <w:b/>
                <w:color w:val="FFFFFF"/>
                <w:sz w:val="18"/>
              </w:rPr>
              <w:t>Required path input</w:t>
            </w:r>
          </w:p>
        </w:tc>
      </w:tr>
      <w:tr>
        <w:tc>
          <w:tcPr>
            <w:tcW w:type="dxa" w:w="30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Aggregated Pnode</w:t>
            </w:r>
          </w:p>
        </w:tc>
        <w:tc>
          <w:tcPr>
            <w:tcW w:type="dxa" w:w="56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/pricing/v1/aggregated-pnode</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None</w:t>
            </w:r>
          </w:p>
        </w:tc>
      </w:tr>
      <w:tr>
        <w:tc>
          <w:tcPr>
            <w:tcW w:type="dxa" w:w="30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Day-Ahead Ex-Ante LMP</w:t>
            </w:r>
          </w:p>
        </w:tc>
        <w:tc>
          <w:tcPr>
            <w:tcW w:type="dxa" w:w="568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/pricing/v1/day-ahead/{date}/lmp-exante</w:t>
            </w:r>
          </w:p>
        </w:tc>
        <w:tc>
          <w:tcPr>
            <w:tcW w:type="dxa" w:w="12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date</w:t>
            </w:r>
          </w:p>
        </w:tc>
      </w:tr>
      <w:tr>
        <w:tc>
          <w:tcPr>
            <w:tcW w:type="dxa" w:w="30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Day-Ahead Ex-Ante MCP</w:t>
            </w:r>
          </w:p>
        </w:tc>
        <w:tc>
          <w:tcPr>
            <w:tcW w:type="dxa" w:w="56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/pricing/v1/day-ahead/{date}/asm-exante</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date</w:t>
            </w:r>
          </w:p>
        </w:tc>
      </w:tr>
      <w:tr>
        <w:tc>
          <w:tcPr>
            <w:tcW w:type="dxa" w:w="30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Day-Ahead Ex-Post LMP</w:t>
            </w:r>
          </w:p>
        </w:tc>
        <w:tc>
          <w:tcPr>
            <w:tcW w:type="dxa" w:w="568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/pricing/v1/day-ahead/{date}/lmp-expost</w:t>
            </w:r>
          </w:p>
        </w:tc>
        <w:tc>
          <w:tcPr>
            <w:tcW w:type="dxa" w:w="12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date</w:t>
            </w:r>
          </w:p>
        </w:tc>
      </w:tr>
      <w:tr>
        <w:tc>
          <w:tcPr>
            <w:tcW w:type="dxa" w:w="30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Day-Ahead Ex-Post MCP</w:t>
            </w:r>
          </w:p>
        </w:tc>
        <w:tc>
          <w:tcPr>
            <w:tcW w:type="dxa" w:w="56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/pricing/v1/day-ahead/{date}/asm-expost</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date</w:t>
            </w:r>
          </w:p>
        </w:tc>
      </w:tr>
      <w:tr>
        <w:tc>
          <w:tcPr>
            <w:tcW w:type="dxa" w:w="30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Real-Time Ex-Ante LMP</w:t>
            </w:r>
          </w:p>
        </w:tc>
        <w:tc>
          <w:tcPr>
            <w:tcW w:type="dxa" w:w="568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/pricing/v1/real-time/{date}/lmp-exante</w:t>
            </w:r>
          </w:p>
        </w:tc>
        <w:tc>
          <w:tcPr>
            <w:tcW w:type="dxa" w:w="12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date</w:t>
            </w:r>
          </w:p>
        </w:tc>
      </w:tr>
      <w:tr>
        <w:tc>
          <w:tcPr>
            <w:tcW w:type="dxa" w:w="30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Real-Time Ex-Ante MCP</w:t>
            </w:r>
          </w:p>
        </w:tc>
        <w:tc>
          <w:tcPr>
            <w:tcW w:type="dxa" w:w="56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/pricing/v1/real-time/{date}/asm-exante</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date</w:t>
            </w:r>
          </w:p>
        </w:tc>
      </w:tr>
      <w:tr>
        <w:tc>
          <w:tcPr>
            <w:tcW w:type="dxa" w:w="30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Real-Time Ex-Post LMP</w:t>
            </w:r>
          </w:p>
        </w:tc>
        <w:tc>
          <w:tcPr>
            <w:tcW w:type="dxa" w:w="568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/pricing/v1/real-time/{date}/lmp-expost</w:t>
            </w:r>
          </w:p>
        </w:tc>
        <w:tc>
          <w:tcPr>
            <w:tcW w:type="dxa" w:w="12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date</w:t>
            </w:r>
          </w:p>
        </w:tc>
      </w:tr>
      <w:tr>
        <w:tc>
          <w:tcPr>
            <w:tcW w:type="dxa" w:w="30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Real-Time Ex-Post MCP</w:t>
            </w:r>
          </w:p>
        </w:tc>
        <w:tc>
          <w:tcPr>
            <w:tcW w:type="dxa" w:w="56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/pricing/v1/real-time/{date}/asm-expost</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date</w:t>
            </w:r>
          </w:p>
        </w:tc>
      </w:tr>
      <w:tr>
        <w:tc>
          <w:tcPr>
            <w:tcW w:type="dxa" w:w="30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Real-Time MCP Summary</w:t>
            </w:r>
          </w:p>
        </w:tc>
        <w:tc>
          <w:tcPr>
            <w:tcW w:type="dxa" w:w="568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/pricing/v1/real-time/{date}/asm-summary</w:t>
            </w:r>
          </w:p>
        </w:tc>
        <w:tc>
          <w:tcPr>
            <w:tcW w:type="dxa" w:w="12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date</w:t>
            </w:r>
          </w:p>
        </w:tc>
      </w:tr>
    </w:tbl>
    <w:p>
      <w:pPr>
        <w:spacing w:after="40"/>
      </w:pPr>
    </w:p>
    <w:p>
      <w:pPr>
        <w:pStyle w:val="Heading2"/>
        <w:keepNext/>
        <w:spacing w:before="200" w:after="120"/>
      </w:pPr>
      <w:r>
        <w:t>Load generation and interchange operations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96"/>
            <w:vAlign w:val="center"/>
            <w:shd w:fill="1F4E7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jc w:val="left"/>
            </w:pPr>
            <w:r>
              <w:rPr>
                <w:rFonts w:ascii="Arial" w:hAnsi="Arial"/>
                <w:b/>
                <w:color w:val="FFFFFF"/>
                <w:sz w:val="18"/>
              </w:rPr>
              <w:t>Operation</w:t>
            </w:r>
          </w:p>
        </w:tc>
        <w:tc>
          <w:tcPr>
            <w:tcW w:type="dxa" w:w="5688"/>
            <w:vAlign w:val="center"/>
            <w:shd w:fill="1F4E7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jc w:val="left"/>
            </w:pPr>
            <w:r>
              <w:rPr>
                <w:rFonts w:ascii="Arial" w:hAnsi="Arial"/>
                <w:b/>
                <w:color w:val="FFFFFF"/>
                <w:sz w:val="18"/>
              </w:rPr>
              <w:t>GET path</w:t>
            </w:r>
          </w:p>
        </w:tc>
        <w:tc>
          <w:tcPr>
            <w:tcW w:type="dxa" w:w="1296"/>
            <w:vAlign w:val="center"/>
            <w:shd w:fill="1F4E7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jc w:val="left"/>
            </w:pPr>
            <w:r>
              <w:rPr>
                <w:rFonts w:ascii="Arial" w:hAnsi="Arial"/>
                <w:b/>
                <w:color w:val="FFFFFF"/>
                <w:sz w:val="18"/>
              </w:rPr>
              <w:t>Required path input</w:t>
            </w:r>
          </w:p>
        </w:tc>
      </w:tr>
      <w:tr>
        <w:tc>
          <w:tcPr>
            <w:tcW w:type="dxa" w:w="30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Actual Load</w:t>
            </w:r>
          </w:p>
        </w:tc>
        <w:tc>
          <w:tcPr>
            <w:tcW w:type="dxa" w:w="56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/lgi/v1/real-time/{date}/demand/actual</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date</w:t>
            </w:r>
          </w:p>
        </w:tc>
      </w:tr>
      <w:tr>
        <w:tc>
          <w:tcPr>
            <w:tcW w:type="dxa" w:w="30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Day-Ahead Cleared Demand</w:t>
            </w:r>
          </w:p>
        </w:tc>
        <w:tc>
          <w:tcPr>
            <w:tcW w:type="dxa" w:w="568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/lgi/v1/day-ahead/{date}/demand</w:t>
            </w:r>
          </w:p>
        </w:tc>
        <w:tc>
          <w:tcPr>
            <w:tcW w:type="dxa" w:w="12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date</w:t>
            </w:r>
          </w:p>
        </w:tc>
      </w:tr>
      <w:tr>
        <w:tc>
          <w:tcPr>
            <w:tcW w:type="dxa" w:w="30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Day-Ahead Cleared Generation Physical</w:t>
            </w:r>
          </w:p>
        </w:tc>
        <w:tc>
          <w:tcPr>
            <w:tcW w:type="dxa" w:w="56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/lgi/v1/day-ahead/{date}/generation/cleared/physical</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date</w:t>
            </w:r>
          </w:p>
        </w:tc>
      </w:tr>
      <w:tr>
        <w:tc>
          <w:tcPr>
            <w:tcW w:type="dxa" w:w="30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Day-Ahead Cleared Generation Virtual</w:t>
            </w:r>
          </w:p>
        </w:tc>
        <w:tc>
          <w:tcPr>
            <w:tcW w:type="dxa" w:w="568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/lgi/v1/day-ahead/{date}/generation/cleared/virtual</w:t>
            </w:r>
          </w:p>
        </w:tc>
        <w:tc>
          <w:tcPr>
            <w:tcW w:type="dxa" w:w="12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date</w:t>
            </w:r>
          </w:p>
        </w:tc>
      </w:tr>
      <w:tr>
        <w:tc>
          <w:tcPr>
            <w:tcW w:type="dxa" w:w="30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Day-Ahead Generation Fuel Type</w:t>
            </w:r>
          </w:p>
        </w:tc>
        <w:tc>
          <w:tcPr>
            <w:tcW w:type="dxa" w:w="56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/lgi/v1/day-ahead/{date}/generation/fuel-type</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date</w:t>
            </w:r>
          </w:p>
        </w:tc>
      </w:tr>
      <w:tr>
        <w:tc>
          <w:tcPr>
            <w:tcW w:type="dxa" w:w="30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Day-Ahead Net Scheduled Interchange</w:t>
            </w:r>
          </w:p>
        </w:tc>
        <w:tc>
          <w:tcPr>
            <w:tcW w:type="dxa" w:w="568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/lgi/v1/day-ahead/{date}/interchange/net-scheduled</w:t>
            </w:r>
          </w:p>
        </w:tc>
        <w:tc>
          <w:tcPr>
            <w:tcW w:type="dxa" w:w="12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date</w:t>
            </w:r>
          </w:p>
        </w:tc>
      </w:tr>
      <w:tr>
        <w:tc>
          <w:tcPr>
            <w:tcW w:type="dxa" w:w="30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Day-Ahead Offered Generation ECOMAX</w:t>
            </w:r>
          </w:p>
        </w:tc>
        <w:tc>
          <w:tcPr>
            <w:tcW w:type="dxa" w:w="56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/lgi/v1/day-ahead/{date}/generation/offered/ecomax</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date</w:t>
            </w:r>
          </w:p>
        </w:tc>
      </w:tr>
      <w:tr>
        <w:tc>
          <w:tcPr>
            <w:tcW w:type="dxa" w:w="30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Day-Ahead Offered Generation ECOMIN</w:t>
            </w:r>
          </w:p>
        </w:tc>
        <w:tc>
          <w:tcPr>
            <w:tcW w:type="dxa" w:w="568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/lgi/v1/day-ahead/{date}/generation/offered/ecomin</w:t>
            </w:r>
          </w:p>
        </w:tc>
        <w:tc>
          <w:tcPr>
            <w:tcW w:type="dxa" w:w="12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date</w:t>
            </w:r>
          </w:p>
        </w:tc>
      </w:tr>
      <w:tr>
        <w:tc>
          <w:tcPr>
            <w:tcW w:type="dxa" w:w="30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Historical Net Scheduled Interchange</w:t>
            </w:r>
          </w:p>
        </w:tc>
        <w:tc>
          <w:tcPr>
            <w:tcW w:type="dxa" w:w="56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/lgi/v1/historical/{date}/interchange/net-scheduled</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date</w:t>
            </w:r>
          </w:p>
        </w:tc>
      </w:tr>
      <w:tr>
        <w:tc>
          <w:tcPr>
            <w:tcW w:type="dxa" w:w="30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Medium Term Load Forecast</w:t>
            </w:r>
          </w:p>
        </w:tc>
        <w:tc>
          <w:tcPr>
            <w:tcW w:type="dxa" w:w="568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/lgi/v1/forecast/{date}/load</w:t>
            </w:r>
          </w:p>
        </w:tc>
        <w:tc>
          <w:tcPr>
            <w:tcW w:type="dxa" w:w="12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date</w:t>
            </w:r>
          </w:p>
        </w:tc>
      </w:tr>
      <w:tr>
        <w:tc>
          <w:tcPr>
            <w:tcW w:type="dxa" w:w="30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Outage Forecast</w:t>
            </w:r>
          </w:p>
        </w:tc>
        <w:tc>
          <w:tcPr>
            <w:tcW w:type="dxa" w:w="56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/lgi/v1/forecast/{date}/outage</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date</w:t>
            </w:r>
          </w:p>
        </w:tc>
      </w:tr>
      <w:tr>
        <w:tc>
          <w:tcPr>
            <w:tcW w:type="dxa" w:w="30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Real-Time Binding Constraints</w:t>
            </w:r>
          </w:p>
        </w:tc>
        <w:tc>
          <w:tcPr>
            <w:tcW w:type="dxa" w:w="568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/lgi/v1/real-time/{date}/binding-constraint</w:t>
            </w:r>
          </w:p>
        </w:tc>
        <w:tc>
          <w:tcPr>
            <w:tcW w:type="dxa" w:w="12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date</w:t>
            </w:r>
          </w:p>
        </w:tc>
      </w:tr>
      <w:tr>
        <w:tc>
          <w:tcPr>
            <w:tcW w:type="dxa" w:w="30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Real-Time Cleared Demand</w:t>
            </w:r>
          </w:p>
        </w:tc>
        <w:tc>
          <w:tcPr>
            <w:tcW w:type="dxa" w:w="56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/lgi/v1/real-time/{date}/demand/forecast</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date</w:t>
            </w:r>
          </w:p>
        </w:tc>
      </w:tr>
      <w:tr>
        <w:tc>
          <w:tcPr>
            <w:tcW w:type="dxa" w:w="30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Real-Time Cleared Generation</w:t>
            </w:r>
          </w:p>
        </w:tc>
        <w:tc>
          <w:tcPr>
            <w:tcW w:type="dxa" w:w="568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/lgi/v1/real-time/{date}/generation/cleared/supply</w:t>
            </w:r>
          </w:p>
        </w:tc>
        <w:tc>
          <w:tcPr>
            <w:tcW w:type="dxa" w:w="12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date</w:t>
            </w:r>
          </w:p>
        </w:tc>
      </w:tr>
      <w:tr>
        <w:tc>
          <w:tcPr>
            <w:tcW w:type="dxa" w:w="30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Real-Time Committed Generation ECOMAX</w:t>
            </w:r>
          </w:p>
        </w:tc>
        <w:tc>
          <w:tcPr>
            <w:tcW w:type="dxa" w:w="56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/lgi/v1/real-time/{date}/generation/committed/ecomax</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date</w:t>
            </w:r>
          </w:p>
        </w:tc>
      </w:tr>
      <w:tr>
        <w:tc>
          <w:tcPr>
            <w:tcW w:type="dxa" w:w="30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Real-Time Generation Fuel Type</w:t>
            </w:r>
          </w:p>
        </w:tc>
        <w:tc>
          <w:tcPr>
            <w:tcW w:type="dxa" w:w="568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/lgi/v1/real-time/{date}/generation/fuel-type</w:t>
            </w:r>
          </w:p>
        </w:tc>
        <w:tc>
          <w:tcPr>
            <w:tcW w:type="dxa" w:w="12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date</w:t>
            </w:r>
          </w:p>
        </w:tc>
      </w:tr>
      <w:tr>
        <w:tc>
          <w:tcPr>
            <w:tcW w:type="dxa" w:w="30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Real-Time Generation Fuel on the Margin</w:t>
            </w:r>
          </w:p>
        </w:tc>
        <w:tc>
          <w:tcPr>
            <w:tcW w:type="dxa" w:w="56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/lgi/v1/real-time/{date}/generation/fuel-on-the-margin</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date</w:t>
            </w:r>
          </w:p>
        </w:tc>
      </w:tr>
      <w:tr>
        <w:tc>
          <w:tcPr>
            <w:tcW w:type="dxa" w:w="30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Real-Time Net Actual Interchange</w:t>
            </w:r>
          </w:p>
        </w:tc>
        <w:tc>
          <w:tcPr>
            <w:tcW w:type="dxa" w:w="568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/lgi/v1/real-time/{date}/interchange/net-actual</w:t>
            </w:r>
          </w:p>
        </w:tc>
        <w:tc>
          <w:tcPr>
            <w:tcW w:type="dxa" w:w="12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date</w:t>
            </w:r>
          </w:p>
        </w:tc>
      </w:tr>
      <w:tr>
        <w:tc>
          <w:tcPr>
            <w:tcW w:type="dxa" w:w="30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Real-Time Net Scheduled Interchange</w:t>
            </w:r>
          </w:p>
        </w:tc>
        <w:tc>
          <w:tcPr>
            <w:tcW w:type="dxa" w:w="56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/lgi/v1/real-time/{date}/interchange/net-scheduled</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date</w:t>
            </w:r>
          </w:p>
        </w:tc>
      </w:tr>
      <w:tr>
        <w:tc>
          <w:tcPr>
            <w:tcW w:type="dxa" w:w="30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Real-Time Offered Generation ECOMAX</w:t>
            </w:r>
          </w:p>
        </w:tc>
        <w:tc>
          <w:tcPr>
            <w:tcW w:type="dxa" w:w="568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/lgi/v1/real-time/{date}/generation/offered/ecomax</w:t>
            </w:r>
          </w:p>
        </w:tc>
        <w:tc>
          <w:tcPr>
            <w:tcW w:type="dxa" w:w="12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date</w:t>
            </w:r>
          </w:p>
        </w:tc>
      </w:tr>
      <w:tr>
        <w:tc>
          <w:tcPr>
            <w:tcW w:type="dxa" w:w="30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Real-Time Outages</w:t>
            </w:r>
          </w:p>
        </w:tc>
        <w:tc>
          <w:tcPr>
            <w:tcW w:type="dxa" w:w="568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/lgi/v1/real-time/{date}/outage</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date</w:t>
            </w:r>
          </w:p>
        </w:tc>
      </w:tr>
      <w:tr>
        <w:tc>
          <w:tcPr>
            <w:tcW w:type="dxa" w:w="30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Real-Time State Estimator Load</w:t>
            </w:r>
          </w:p>
        </w:tc>
        <w:tc>
          <w:tcPr>
            <w:tcW w:type="dxa" w:w="568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/lgi/v1/real-time/{date}/demand/load-state-estimator</w:t>
            </w:r>
          </w:p>
        </w:tc>
        <w:tc>
          <w:tcPr>
            <w:tcW w:type="dxa" w:w="1296"/>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7"/>
              </w:rPr>
              <w:t>date</w:t>
            </w:r>
          </w:p>
        </w:tc>
      </w:tr>
    </w:tbl>
    <w:p>
      <w:pPr>
        <w:spacing w:after="40"/>
      </w:pPr>
    </w:p>
    <w:p>
      <w:pPr>
        <w:spacing w:after="140" w:line="274" w:lineRule="auto"/>
      </w:pPr>
      <w:r>
        <w:t>Official MISO API directory: https://data-exchange.misoenergy.org/apis. Official MISO products page: https://data-exchange.misoenergy.org/products.</w:t>
      </w:r>
    </w:p>
    <w:p>
      <w:r>
        <w:br w:type="page"/>
      </w:r>
    </w:p>
    <w:p>
      <w:pPr>
        <w:pStyle w:val="Heading1"/>
        <w:keepNext/>
        <w:spacing w:before="280" w:after="120"/>
      </w:pPr>
      <w:r>
        <w:t>Tools and system architecture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vAlign w:val="center"/>
            <w:shd w:fill="1F4E7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jc w:val="left"/>
            </w:pPr>
            <w:r>
              <w:rPr>
                <w:rFonts w:ascii="Arial" w:hAnsi="Arial"/>
                <w:b/>
                <w:color w:val="FFFFFF"/>
                <w:sz w:val="18"/>
              </w:rPr>
              <w:t>Layer</w:t>
            </w:r>
          </w:p>
        </w:tc>
        <w:tc>
          <w:tcPr>
            <w:tcW w:type="dxa" w:w="3672"/>
            <w:vAlign w:val="center"/>
            <w:shd w:fill="1F4E7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jc w:val="left"/>
            </w:pPr>
            <w:r>
              <w:rPr>
                <w:rFonts w:ascii="Arial" w:hAnsi="Arial"/>
                <w:b/>
                <w:color w:val="FFFFFF"/>
                <w:sz w:val="18"/>
              </w:rPr>
              <w:t>Tools used</w:t>
            </w:r>
          </w:p>
        </w:tc>
        <w:tc>
          <w:tcPr>
            <w:tcW w:type="dxa" w:w="4608"/>
            <w:vAlign w:val="center"/>
            <w:shd w:fill="1F4E7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tcPr>
          <w:p>
            <w:pPr>
              <w:spacing w:after="0" w:line="252" w:lineRule="auto"/>
              <w:jc w:val="left"/>
            </w:pPr>
            <w:r>
              <w:rPr>
                <w:rFonts w:ascii="Arial" w:hAnsi="Arial"/>
                <w:b/>
                <w:color w:val="FFFFFF"/>
                <w:sz w:val="18"/>
              </w:rPr>
              <w:t>Role in the process</w:t>
            </w:r>
          </w:p>
        </w:tc>
      </w:tr>
      <w:tr>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Application</w:t>
            </w:r>
          </w:p>
        </w:tc>
        <w:tc>
          <w:tcPr>
            <w:tcW w:type="dxa" w:w="36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TypeScript, React 19, TanStack Start, TanStack Router, TanStack Query</w:t>
            </w:r>
          </w:p>
        </w:tc>
        <w:tc>
          <w:tcPr>
            <w:tcW w:type="dxa" w:w="460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Typed interface, routes, server functions, and client state.</w:t>
            </w:r>
          </w:p>
        </w:tc>
      </w:tr>
      <w:tr>
        <w:tc>
          <w:tcPr>
            <w:tcW w:type="dxa" w:w="180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Data and identity</w:t>
            </w:r>
          </w:p>
        </w:tc>
        <w:tc>
          <w:tcPr>
            <w:tcW w:type="dxa" w:w="3672"/>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Supabase Auth, Postgres, row-level security</w:t>
            </w:r>
          </w:p>
        </w:tc>
        <w:tc>
          <w:tcPr>
            <w:tcW w:type="dxa" w:w="460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Sign-in, conversations, preferences, and user-scoped non-secret references.</w:t>
            </w:r>
          </w:p>
        </w:tc>
      </w:tr>
      <w:tr>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AI orchestration</w:t>
            </w:r>
          </w:p>
        </w:tc>
        <w:tc>
          <w:tcPr>
            <w:tcW w:type="dxa" w:w="36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AI SDK, OpenAI-compatible provider, catalog resolver</w:t>
            </w:r>
          </w:p>
        </w:tc>
        <w:tc>
          <w:tcPr>
            <w:tcW w:type="dxa" w:w="460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Maps questions to a MISO operation, requests missing parameters, and returns structured results.</w:t>
            </w:r>
          </w:p>
        </w:tc>
      </w:tr>
      <w:tr>
        <w:tc>
          <w:tcPr>
            <w:tcW w:type="dxa" w:w="180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MISO integration</w:t>
            </w:r>
          </w:p>
        </w:tc>
        <w:tc>
          <w:tcPr>
            <w:tcW w:type="dxa" w:w="3672"/>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Server-only gateway, catalog metadata, Zod validation, retry and error classifier</w:t>
            </w:r>
          </w:p>
        </w:tc>
        <w:tc>
          <w:tcPr>
            <w:tcW w:type="dxa" w:w="460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Builds validated requests while credentials remain in backend environment variables.</w:t>
            </w:r>
          </w:p>
        </w:tc>
      </w:tr>
      <w:tr>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Frontend</w:t>
            </w:r>
          </w:p>
        </w:tc>
        <w:tc>
          <w:tcPr>
            <w:tcW w:type="dxa" w:w="36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Recharts, Lucide, Sonner, responsive UI components</w:t>
            </w:r>
          </w:p>
        </w:tc>
        <w:tc>
          <w:tcPr>
            <w:tcW w:type="dxa" w:w="460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Charts, API views, result presentation, and accessible interactions.</w:t>
            </w:r>
          </w:p>
        </w:tc>
      </w:tr>
      <w:tr>
        <w:tc>
          <w:tcPr>
            <w:tcW w:type="dxa" w:w="1800"/>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Local agent</w:t>
            </w:r>
          </w:p>
        </w:tc>
        <w:tc>
          <w:tcPr>
            <w:tcW w:type="dxa" w:w="3672"/>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Generated ESM script using @cursor/sdk</w:t>
            </w:r>
          </w:p>
        </w:tc>
        <w:tc>
          <w:tcPr>
            <w:tcW w:type="dxa" w:w="4608"/>
            <w:vAlign w:val="center"/>
            <w:shd w:fill="F3F7FB"/>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Applies an approved plan in a user-selected local backend with sandbox and review enabled.</w:t>
            </w:r>
          </w:p>
        </w:tc>
      </w:tr>
      <w:tr>
        <w:tc>
          <w:tcPr>
            <w:tcW w:type="dxa" w:w="1800"/>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Build and validation</w:t>
            </w:r>
          </w:p>
        </w:tc>
        <w:tc>
          <w:tcPr>
            <w:tcW w:type="dxa" w:w="367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Vite, Nitro and Cloudflare output, Vitest, browser workflow simulation</w:t>
            </w:r>
          </w:p>
        </w:tc>
        <w:tc>
          <w:tcPr>
            <w:tcW w:type="dxa" w:w="4608"/>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tcPr>
          <w:p>
            <w:pPr>
              <w:spacing w:after="0" w:line="252" w:lineRule="auto"/>
              <w:jc w:val="left"/>
            </w:pPr>
            <w:r>
              <w:rPr>
                <w:rFonts w:ascii="Arial" w:hAnsi="Arial"/>
                <w:b w:val="0"/>
                <w:color w:val="000000"/>
                <w:sz w:val="18"/>
              </w:rPr>
              <w:t>Production build plus deterministic data, error, and agent-conversation validation.</w:t>
            </w:r>
          </w:p>
        </w:tc>
      </w:tr>
    </w:tbl>
    <w:p>
      <w:pPr>
        <w:spacing w:after="40"/>
      </w:pPr>
    </w:p>
    <w:p>
      <w:pPr>
        <w:pStyle w:val="Heading1"/>
        <w:keepNext/>
        <w:spacing w:before="280" w:after="120"/>
      </w:pPr>
      <w:r>
        <w:t>Validation and error resolution</w:t>
      </w:r>
    </w:p>
    <w:p>
      <w:pPr>
        <w:spacing w:after="140" w:line="274" w:lineRule="auto"/>
      </w:pPr>
      <w:r>
        <w:t>The Integration Lab is deterministic. It does not use a MISO subscription key or make a live MISO request. It simulates six user roles: market participant or trader, transmission owner, interconnection customer, reliability data provider, operations planner, and backend integrator.</w:t>
      </w:r>
    </w:p>
    <w:p>
      <w:pPr>
        <w:spacing w:after="140" w:line="274" w:lineRule="auto"/>
      </w:pPr>
      <w:r>
        <w:t>The web-chat and local-agent transcript asks for required API parameters and then requests a safe credential reference by label or environment-variable name. It does not ask for a raw subscription key.</w:t>
      </w:r>
    </w:p>
    <w:p>
      <w:pPr>
        <w:spacing w:after="140" w:line="274" w:lineRule="auto"/>
      </w:pPr>
      <w:r>
        <w:t>The error-recovery simulation classifies HTTP 505 as an HTTP protocol-version issue. The agent does not retry automatically. It recommends reviewing outbound proxy, API gateway, TLS, and protocol configuration, and creates support context without keys or authorization headers.</w:t>
      </w:r>
    </w:p>
    <w:p>
      <w:pPr>
        <w:spacing w:after="140" w:line="274" w:lineRule="auto"/>
      </w:pPr>
      <w:r>
        <w:t>Current validation evidence includes 37 passing Vitest tests, a completed Vite and Nitro production build, subscription-key portal handoff checks, secure agent setup checks, and a complete backend-integrator simulation.</w:t>
      </w:r>
    </w:p>
    <w:p>
      <w:pPr>
        <w:pStyle w:val="Heading1"/>
        <w:keepNext/>
        <w:spacing w:before="280" w:after="120"/>
      </w:pPr>
      <w:r>
        <w:t>Operational handoff checklist</w:t>
      </w:r>
    </w:p>
    <w:p>
      <w:pPr>
        <w:spacing w:after="40" w:line="259" w:lineRule="auto"/>
        <w:ind w:left="403" w:hanging="259"/>
      </w:pPr>
      <w:r>
        <w:t xml:space="preserve">•  </w:t>
      </w:r>
      <w:r>
        <w:t>Confirm the target MISO operation and all required parameter values.</w:t>
      </w:r>
    </w:p>
    <w:p>
      <w:pPr>
        <w:spacing w:after="40" w:line="259" w:lineRule="auto"/>
        <w:ind w:left="403" w:hanging="259"/>
      </w:pPr>
      <w:r>
        <w:t xml:space="preserve">•  </w:t>
      </w:r>
      <w:r>
        <w:t>Create or manage the subscription in the authenticated MISO Data Exchange portal.</w:t>
      </w:r>
    </w:p>
    <w:p>
      <w:pPr>
        <w:spacing w:after="40" w:line="259" w:lineRule="auto"/>
        <w:ind w:left="403" w:hanging="259"/>
      </w:pPr>
      <w:r>
        <w:t xml:space="preserve">•  </w:t>
      </w:r>
      <w:r>
        <w:t>Store the real key in the selected backend secret manager as MISO_SUBSCRIPTION_KEY or another approved environment-variable name.</w:t>
      </w:r>
    </w:p>
    <w:p>
      <w:pPr>
        <w:spacing w:after="40" w:line="259" w:lineRule="auto"/>
        <w:ind w:left="403" w:hanging="259"/>
      </w:pPr>
      <w:r>
        <w:t xml:space="preserve">•  </w:t>
      </w:r>
      <w:r>
        <w:t>Save only the non-secret label and environment-variable name in MISO Insight.</w:t>
      </w:r>
    </w:p>
    <w:p>
      <w:pPr>
        <w:spacing w:after="40" w:line="259" w:lineRule="auto"/>
        <w:ind w:left="403" w:hanging="259"/>
      </w:pPr>
      <w:r>
        <w:t xml:space="preserve">•  </w:t>
      </w:r>
      <w:r>
        <w:t>Download the local agent only after reviewing the selected endpoint and parameter plan.</w:t>
      </w:r>
    </w:p>
    <w:p>
      <w:pPr>
        <w:spacing w:after="40" w:line="259" w:lineRule="auto"/>
        <w:ind w:left="403" w:hanging="259"/>
      </w:pPr>
      <w:r>
        <w:t xml:space="preserve">•  </w:t>
      </w:r>
      <w:r>
        <w:t>Run focused backend tests with mock HTTP responses; do not call live MISO in tests.</w:t>
      </w:r>
    </w:p>
    <w:p>
      <w:pPr>
        <w:spacing w:after="40" w:line="259" w:lineRule="auto"/>
        <w:ind w:left="403" w:hanging="259"/>
      </w:pPr>
      <w:r>
        <w:t xml:space="preserve">•  </w:t>
      </w:r>
      <w:r>
        <w:t>Review changes before deployment and monitor gateway failures using safe, redacted diagnostics.</w:t>
      </w:r>
    </w:p>
    <w:sectPr w:rsidR="00FC693F" w:rsidRPr="0006063C" w:rsidSect="00034616">
      <w:footerReference w:type="default" r:id="rId9"/>
      <w:pgSz w:w="12240" w:h="15840"/>
      <w:pgMar w:top="1037"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7"/>
      </w:rPr>
      <w:t>MISO Insight Presentation Package</w:t>
    </w:r>
    <w:r>
      <w:t xml:space="preserve">   </w:t>
    </w: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MISO Insight Presentation Guide</dc:title>
  <dc:subject>Feature endpoint workflow and tools reference</dc:subject>
  <dc:creator>MISO Insight</dc:creator>
  <cp:keywords/>
  <dc:description>generated by python-docx</dc:description>
  <cp:lastModifiedBy/>
  <cp:revision>1</cp:revision>
  <dcterms:created xsi:type="dcterms:W3CDTF">2013-12-23T23:15:00Z</dcterms:created>
  <dcterms:modified xsi:type="dcterms:W3CDTF">2013-12-23T23:15:00Z</dcterms:modified>
  <cp:category/>
</cp:coreProperties>
</file>