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3"/>
          <w:szCs w:val="23"/>
        </w:rPr>
        <w:t xml:space="preserve">S.Y. B. Tech. AIDS Semester‑4, AY 2025‑26</w:t>
      </w:r>
    </w:p>
    <w:p>
      <w:pPr>
        <w:spacing w:after="100"/>
        <w:jc w:val="center"/>
      </w:pPr>
      <w:r>
        <w:rPr>
          <w:rFonts w:ascii="Arial" w:cs="Arial" w:eastAsia="Arial" w:hAnsi="Arial"/>
          <w:b/>
          <w:bCs/>
          <w:color w:val="2E75B6"/>
          <w:sz w:val="26"/>
          <w:szCs w:val="26"/>
          <w:u w:val="single"/>
        </w:rPr>
        <w:t xml:space="preserve">DET Lab Assignment No. 05</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AIM:</w:t>
      </w:r>
    </w:p>
    <w:p>
      <w:pPr>
        <w:spacing w:after="120" w:before="50"/>
      </w:pPr>
      <w:r>
        <w:rPr>
          <w:rFonts w:ascii="Arial" w:cs="Arial" w:eastAsia="Arial" w:hAnsi="Arial"/>
          <w:color w:val="1F4E79"/>
          <w:sz w:val="21"/>
          <w:szCs w:val="21"/>
        </w:rPr>
        <w:t xml:space="preserve">Apply the Apriori algorithm to discover frequent itemsets from transaction data and generate strong association rules (Market Basket Analysis) using Python.</w:t>
      </w:r>
    </w:p>
    <w:p>
      <w:pPr>
        <w:spacing w:after="120" w:before="300"/>
      </w:pPr>
      <w:r>
        <w:rPr>
          <w:rFonts w:ascii="Arial" w:cs="Arial" w:eastAsia="Arial" w:hAnsi="Arial"/>
          <w:b/>
          <w:bCs/>
          <w:color w:val="000000"/>
          <w:sz w:val="28"/>
          <w:szCs w:val="28"/>
        </w:rPr>
        <w:t xml:space="preserve">PROBLEM STATEMENT:</w:t>
      </w:r>
    </w:p>
    <w:p>
      <w:pPr>
        <w:spacing w:after="100" w:before="50"/>
      </w:pPr>
      <w:r>
        <w:rPr>
          <w:rFonts w:ascii="Arial" w:cs="Arial" w:eastAsia="Arial" w:hAnsi="Arial"/>
          <w:color w:val="1F4E79"/>
          <w:sz w:val="21"/>
          <w:szCs w:val="21"/>
        </w:rPr>
        <w:t xml:space="preserve">Given a transactional dataset (e.g., grocery store purchases, online retail). Implement Apriori to find frequent itemsets with minimum support = 0.02 and generate association rules with minimum confidence = 0.5. Compute support, confidence, lift, and conviction for each rule. Visualise top rules.</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OBJECTIVES:</w:t>
      </w:r>
    </w:p>
    <w:p>
      <w:pPr>
        <w:pStyle w:val="ListParagraph"/>
        <w:numPr>
          <w:ilvl w:val="0"/>
          <w:numId w:val="2"/>
        </w:numPr>
        <w:spacing w:after="40" w:before="40"/>
      </w:pPr>
      <w:r>
        <w:rPr>
          <w:rFonts w:ascii="Arial" w:cs="Arial" w:eastAsia="Arial" w:hAnsi="Arial"/>
          <w:color w:val="1F4E79"/>
          <w:sz w:val="21"/>
          <w:szCs w:val="21"/>
        </w:rPr>
        <w:t xml:space="preserve">Understand frequent itemsets, closed itemsets, and market basket analysis.</w:t>
      </w:r>
    </w:p>
    <w:p>
      <w:pPr>
        <w:pStyle w:val="ListParagraph"/>
        <w:numPr>
          <w:ilvl w:val="0"/>
          <w:numId w:val="2"/>
        </w:numPr>
        <w:spacing w:after="40" w:before="40"/>
      </w:pPr>
      <w:r>
        <w:rPr>
          <w:rFonts w:ascii="Arial" w:cs="Arial" w:eastAsia="Arial" w:hAnsi="Arial"/>
          <w:color w:val="1F4E79"/>
          <w:sz w:val="21"/>
          <w:szCs w:val="21"/>
        </w:rPr>
        <w:t xml:space="preserve">Calculate support, confidence, lift, and conviction mathematically and programmatically.</w:t>
      </w:r>
    </w:p>
    <w:p>
      <w:pPr>
        <w:pStyle w:val="ListParagraph"/>
        <w:numPr>
          <w:ilvl w:val="0"/>
          <w:numId w:val="2"/>
        </w:numPr>
        <w:spacing w:after="40" w:before="40"/>
      </w:pPr>
      <w:r>
        <w:rPr>
          <w:rFonts w:ascii="Arial" w:cs="Arial" w:eastAsia="Arial" w:hAnsi="Arial"/>
          <w:color w:val="1F4E79"/>
          <w:sz w:val="21"/>
          <w:szCs w:val="21"/>
        </w:rPr>
        <w:t xml:space="preserve">Implement the Apriori algorithm from scratch or using libraries (mlxtend).</w:t>
      </w:r>
    </w:p>
    <w:p>
      <w:pPr>
        <w:pStyle w:val="ListParagraph"/>
        <w:numPr>
          <w:ilvl w:val="0"/>
          <w:numId w:val="2"/>
        </w:numPr>
        <w:spacing w:after="40" w:before="40"/>
      </w:pPr>
      <w:r>
        <w:rPr>
          <w:rFonts w:ascii="Arial" w:cs="Arial" w:eastAsia="Arial" w:hAnsi="Arial"/>
          <w:color w:val="1F4E79"/>
          <w:sz w:val="21"/>
          <w:szCs w:val="21"/>
        </w:rPr>
        <w:t xml:space="preserve">Generate and interpret strong association rules.</w:t>
      </w:r>
    </w:p>
    <w:p>
      <w:pPr>
        <w:pStyle w:val="ListParagraph"/>
        <w:numPr>
          <w:ilvl w:val="0"/>
          <w:numId w:val="2"/>
        </w:numPr>
        <w:spacing w:after="40" w:before="40"/>
      </w:pPr>
      <w:r>
        <w:rPr>
          <w:rFonts w:ascii="Arial" w:cs="Arial" w:eastAsia="Arial" w:hAnsi="Arial"/>
          <w:color w:val="1F4E79"/>
          <w:sz w:val="21"/>
          <w:szCs w:val="21"/>
        </w:rPr>
        <w:t xml:space="preserve">Visualise rule metrics using scatter plots and network graphs.</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THEORY:</w:t>
      </w:r>
    </w:p>
    <w:p>
      <w:pPr>
        <w:spacing w:after="80" w:before="200"/>
      </w:pPr>
      <w:r>
        <w:rPr>
          <w:rFonts w:ascii="Arial" w:cs="Arial" w:eastAsia="Arial" w:hAnsi="Arial"/>
          <w:b/>
          <w:bCs/>
          <w:color w:val="000000"/>
          <w:sz w:val="24"/>
          <w:szCs w:val="24"/>
        </w:rPr>
        <w:t xml:space="preserve">Association Rules:</w:t>
      </w:r>
    </w:p>
    <w:p>
      <w:pPr>
        <w:pStyle w:val="ListParagraph"/>
        <w:numPr>
          <w:ilvl w:val="0"/>
          <w:numId w:val="2"/>
        </w:numPr>
        <w:spacing w:after="40" w:before="40"/>
      </w:pPr>
      <w:r>
        <w:rPr>
          <w:rFonts w:ascii="Arial" w:cs="Arial" w:eastAsia="Arial" w:hAnsi="Arial"/>
          <w:color w:val="1F4E79"/>
          <w:sz w:val="21"/>
          <w:szCs w:val="21"/>
        </w:rPr>
        <w:t xml:space="preserve">An implication of the form X → Y, where X and Y are disjoint itemsets. Example: {Bread, Milk} → {Eggs}.</w:t>
      </w:r>
    </w:p>
    <w:p>
      <w:pPr>
        <w:pStyle w:val="ListParagraph"/>
        <w:numPr>
          <w:ilvl w:val="0"/>
          <w:numId w:val="2"/>
        </w:numPr>
        <w:spacing w:after="40" w:before="40"/>
      </w:pPr>
      <w:r>
        <w:rPr>
          <w:rFonts w:ascii="Arial" w:cs="Arial" w:eastAsia="Arial" w:hAnsi="Arial"/>
          <w:color w:val="1F4E79"/>
          <w:sz w:val="21"/>
          <w:szCs w:val="21"/>
        </w:rPr>
        <w:t xml:space="preserve">Support(X→Y) = P(X∪Y) = (transactions containing both X and Y) / (total transactions).</w:t>
      </w:r>
    </w:p>
    <w:p>
      <w:pPr>
        <w:pStyle w:val="ListParagraph"/>
        <w:numPr>
          <w:ilvl w:val="0"/>
          <w:numId w:val="2"/>
        </w:numPr>
        <w:spacing w:after="40" w:before="40"/>
      </w:pPr>
      <w:r>
        <w:rPr>
          <w:rFonts w:ascii="Arial" w:cs="Arial" w:eastAsia="Arial" w:hAnsi="Arial"/>
          <w:color w:val="1F4E79"/>
          <w:sz w:val="21"/>
          <w:szCs w:val="21"/>
        </w:rPr>
        <w:t xml:space="preserve">Confidence(X→Y) = P(Y|X) = support(X∪Y) / support(X).</w:t>
      </w:r>
    </w:p>
    <w:p>
      <w:pPr>
        <w:pStyle w:val="ListParagraph"/>
        <w:numPr>
          <w:ilvl w:val="0"/>
          <w:numId w:val="2"/>
        </w:numPr>
        <w:spacing w:after="40" w:before="40"/>
      </w:pPr>
      <w:r>
        <w:rPr>
          <w:rFonts w:ascii="Arial" w:cs="Arial" w:eastAsia="Arial" w:hAnsi="Arial"/>
          <w:color w:val="1F4E79"/>
          <w:sz w:val="21"/>
          <w:szCs w:val="21"/>
        </w:rPr>
        <w:t xml:space="preserve">Lift(X→Y) = confidence(X→Y) / support(Y). Lift &gt; 1 indicates positive association.</w:t>
      </w:r>
    </w:p>
    <w:p>
      <w:pPr>
        <w:pStyle w:val="ListParagraph"/>
        <w:numPr>
          <w:ilvl w:val="0"/>
          <w:numId w:val="2"/>
        </w:numPr>
        <w:spacing w:after="40" w:before="40"/>
      </w:pPr>
      <w:r>
        <w:rPr>
          <w:rFonts w:ascii="Arial" w:cs="Arial" w:eastAsia="Arial" w:hAnsi="Arial"/>
          <w:color w:val="1F4E79"/>
          <w:sz w:val="21"/>
          <w:szCs w:val="21"/>
        </w:rPr>
        <w:t xml:space="preserve">Conviction(X→Y) = (1 - support(Y)) / (1 - confidence(X→Y)). Conviction &gt; 1 means rule is interesting.</w:t>
      </w:r>
    </w:p>
    <w:p>
      <w:pPr>
        <w:spacing w:after="80" w:before="200"/>
      </w:pPr>
      <w:r>
        <w:rPr>
          <w:rFonts w:ascii="Arial" w:cs="Arial" w:eastAsia="Arial" w:hAnsi="Arial"/>
          <w:b/>
          <w:bCs/>
          <w:color w:val="000000"/>
          <w:sz w:val="24"/>
          <w:szCs w:val="24"/>
        </w:rPr>
        <w:t xml:space="preserve">Apriori Principle:</w:t>
      </w:r>
    </w:p>
    <w:p>
      <w:pPr>
        <w:pStyle w:val="ListParagraph"/>
        <w:numPr>
          <w:ilvl w:val="0"/>
          <w:numId w:val="2"/>
        </w:numPr>
        <w:spacing w:after="40" w:before="40"/>
      </w:pPr>
      <w:r>
        <w:rPr>
          <w:rFonts w:ascii="Arial" w:cs="Arial" w:eastAsia="Arial" w:hAnsi="Arial"/>
          <w:color w:val="1F4E79"/>
          <w:sz w:val="21"/>
          <w:szCs w:val="21"/>
        </w:rPr>
        <w:t xml:space="preserve">All non‑empty subsets of a frequent itemset must also be frequent. This property is used to prune candidate itemsets, reducing computational cost.</w:t>
      </w:r>
    </w:p>
    <w:p>
      <w:pPr>
        <w:spacing w:after="80" w:before="200"/>
      </w:pPr>
      <w:r>
        <w:rPr>
          <w:rFonts w:ascii="Arial" w:cs="Arial" w:eastAsia="Arial" w:hAnsi="Arial"/>
          <w:b/>
          <w:bCs/>
          <w:color w:val="000000"/>
          <w:sz w:val="24"/>
          <w:szCs w:val="24"/>
        </w:rPr>
        <w:t xml:space="preserve">Pseudocode of Apriori:</w:t>
      </w:r>
    </w:p>
    <w:p>
      <w:pPr>
        <w:shd w:fill="F4F4F4" w:val="clear"/>
        <w:spacing w:after="60" w:before="60"/>
      </w:pPr>
      <w:r>
        <w:rPr>
          <w:rFonts w:ascii="Courier New" w:cs="Courier New" w:eastAsia="Courier New" w:hAnsi="Courier New"/>
          <w:i/>
          <w:iCs/>
          <w:color w:val="333333"/>
          <w:sz w:val="20"/>
          <w:szCs w:val="20"/>
        </w:rPr>
        <w:t xml:space="preserve">1. Generate candidate 1‑itemsets (C1)
2. Scan database to count support of each item, keep those ≥ min_support → L1 (frequent 1‑itemsets)
3. For k = 2,3,... until Lk‑1 is empty:
   a. Generate candidate k‑itemsets (Ck) by joining Lk‑1 with itself (self‑join)
   b. Prune: remove candidates with any (k‑1)-subset not in Lk‑1
   c. Scan database to count support of Ck, keep those ≥ min_support → Lk
4. Return ∪Lk as frequent itemsets
5. Generate rules from frequent itemsets: for each frequent itemset I, generate all non‑empty subsets S ⊂ I, rule S → (I \ S). Keep rules with confidence ≥ min_conf.</w:t>
      </w:r>
    </w:p>
    <w:p>
      <w:pPr>
        <w:spacing w:after="80" w:before="200"/>
      </w:pPr>
      <w:r>
        <w:rPr>
          <w:rFonts w:ascii="Arial" w:cs="Arial" w:eastAsia="Arial" w:hAnsi="Arial"/>
          <w:b/>
          <w:bCs/>
          <w:color w:val="000000"/>
          <w:sz w:val="24"/>
          <w:szCs w:val="24"/>
        </w:rPr>
        <w:t xml:space="preserve">Closed and Maximal Itemsets:</w:t>
      </w:r>
    </w:p>
    <w:p>
      <w:pPr>
        <w:pStyle w:val="ListParagraph"/>
        <w:numPr>
          <w:ilvl w:val="0"/>
          <w:numId w:val="2"/>
        </w:numPr>
        <w:spacing w:after="40" w:before="40"/>
      </w:pPr>
      <w:r>
        <w:rPr>
          <w:rFonts w:ascii="Arial" w:cs="Arial" w:eastAsia="Arial" w:hAnsi="Arial"/>
          <w:color w:val="1F4E79"/>
          <w:sz w:val="21"/>
          <w:szCs w:val="21"/>
        </w:rPr>
        <w:t xml:space="preserve">Closed itemset: no proper superset with same support.</w:t>
      </w:r>
    </w:p>
    <w:p>
      <w:pPr>
        <w:pStyle w:val="ListParagraph"/>
        <w:numPr>
          <w:ilvl w:val="0"/>
          <w:numId w:val="2"/>
        </w:numPr>
        <w:spacing w:after="40" w:before="40"/>
      </w:pPr>
      <w:r>
        <w:rPr>
          <w:rFonts w:ascii="Arial" w:cs="Arial" w:eastAsia="Arial" w:hAnsi="Arial"/>
          <w:color w:val="1F4E79"/>
          <w:sz w:val="21"/>
          <w:szCs w:val="21"/>
        </w:rPr>
        <w:t xml:space="preserve">Maximal itemset: no frequent superset.</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IMPLEMENTATION IN PYTHON:</w:t>
      </w:r>
    </w:p>
    <w:p>
      <w:pPr>
        <w:spacing w:after="80" w:before="200"/>
      </w:pPr>
      <w:r>
        <w:rPr>
          <w:rFonts w:ascii="Arial" w:cs="Arial" w:eastAsia="Arial" w:hAnsi="Arial"/>
          <w:b/>
          <w:bCs/>
          <w:color w:val="000000"/>
          <w:sz w:val="24"/>
          <w:szCs w:val="24"/>
        </w:rPr>
        <w:t xml:space="preserve">Step 1: Install and Import Libraries</w:t>
      </w:r>
    </w:p>
    <w:p>
      <w:pPr>
        <w:shd w:fill="F4F4F4" w:val="clear"/>
        <w:spacing w:after="60" w:before="60"/>
      </w:pPr>
      <w:r>
        <w:rPr>
          <w:rFonts w:ascii="Courier New" w:cs="Courier New" w:eastAsia="Courier New" w:hAnsi="Courier New"/>
          <w:i/>
          <w:iCs/>
          <w:color w:val="333333"/>
          <w:sz w:val="20"/>
          <w:szCs w:val="20"/>
        </w:rPr>
        <w:t xml:space="preserve">pip install mlxtend pandas matplotlib networkx</w:t>
      </w:r>
    </w:p>
    <w:p>
      <w:pPr>
        <w:shd w:fill="F4F4F4" w:val="clear"/>
        <w:spacing w:after="60" w:before="60"/>
      </w:pPr>
      <w:r>
        <w:rPr>
          <w:rFonts w:ascii="Courier New" w:cs="Courier New" w:eastAsia="Courier New" w:hAnsi="Courier New"/>
          <w:i/>
          <w:iCs/>
          <w:color w:val="333333"/>
          <w:sz w:val="20"/>
          <w:szCs w:val="20"/>
        </w:rPr>
        <w:t xml:space="preserve">import pandas as pd
from mlxtend.frequent_patterns import apriori, association_rules
from mlxtend.preprocessing import TransactionEncoder
import matplotlib.pyplot as plt
import networkx as nx</w:t>
      </w:r>
    </w:p>
    <w:p>
      <w:pPr>
        <w:spacing w:after="80" w:before="200"/>
      </w:pPr>
      <w:r>
        <w:rPr>
          <w:rFonts w:ascii="Arial" w:cs="Arial" w:eastAsia="Arial" w:hAnsi="Arial"/>
          <w:b/>
          <w:bCs/>
          <w:color w:val="000000"/>
          <w:sz w:val="24"/>
          <w:szCs w:val="24"/>
        </w:rPr>
        <w:t xml:space="preserve">Step 2: Load and Transform Data</w:t>
      </w:r>
    </w:p>
    <w:p>
      <w:pPr>
        <w:shd w:fill="F4F4F4" w:val="clear"/>
        <w:spacing w:after="60" w:before="60"/>
      </w:pPr>
      <w:r>
        <w:rPr>
          <w:rFonts w:ascii="Courier New" w:cs="Courier New" w:eastAsia="Courier New" w:hAnsi="Courier New"/>
          <w:i/>
          <w:iCs/>
          <w:color w:val="333333"/>
          <w:sz w:val="20"/>
          <w:szCs w:val="20"/>
        </w:rPr>
        <w:t xml:space="preserve"># Sample transaction data
dataset = [['Milk','Bread','Butter'],
           ['Bread','Butter'],
           ['Milk','Bread','Butter','Eggs'],
           ['Milk','Eggs'],
           ['Milk','Bread','Eggs'],
           ['Bread','Butter','Eggs'],
           ['Milk','Bread','Butter'],
           ['Milk','Bread'],
           ['Milk','Eggs'],
           ['Bread','Eggs']]
# One‑hot encode
te = TransactionEncoder()
te_array = te.fit(dataset).transform(dataset)
df = pd.DataFrame(te_array, columns=te.columns_)</w:t>
      </w:r>
    </w:p>
    <w:p>
      <w:pPr>
        <w:spacing w:after="80" w:before="200"/>
      </w:pPr>
      <w:r>
        <w:rPr>
          <w:rFonts w:ascii="Arial" w:cs="Arial" w:eastAsia="Arial" w:hAnsi="Arial"/>
          <w:b/>
          <w:bCs/>
          <w:color w:val="000000"/>
          <w:sz w:val="24"/>
          <w:szCs w:val="24"/>
        </w:rPr>
        <w:t xml:space="preserve">Step 3: Find Frequent Itemsets</w:t>
      </w:r>
    </w:p>
    <w:p>
      <w:pPr>
        <w:shd w:fill="F4F4F4" w:val="clear"/>
        <w:spacing w:after="60" w:before="60"/>
      </w:pPr>
      <w:r>
        <w:rPr>
          <w:rFonts w:ascii="Courier New" w:cs="Courier New" w:eastAsia="Courier New" w:hAnsi="Courier New"/>
          <w:i/>
          <w:iCs/>
          <w:color w:val="333333"/>
          <w:sz w:val="20"/>
          <w:szCs w:val="20"/>
        </w:rPr>
        <w:t xml:space="preserve">frequent_itemsets = apriori(df, min_support=0.2, use_colnames=True)
print(frequent_itemsets.sort_values('support', ascending=False))</w:t>
      </w:r>
    </w:p>
    <w:p>
      <w:pPr>
        <w:spacing w:after="80" w:before="200"/>
      </w:pPr>
      <w:r>
        <w:rPr>
          <w:rFonts w:ascii="Arial" w:cs="Arial" w:eastAsia="Arial" w:hAnsi="Arial"/>
          <w:b/>
          <w:bCs/>
          <w:color w:val="000000"/>
          <w:sz w:val="24"/>
          <w:szCs w:val="24"/>
        </w:rPr>
        <w:t xml:space="preserve">Step 4: Generate Association Rules</w:t>
      </w:r>
    </w:p>
    <w:p>
      <w:pPr>
        <w:shd w:fill="F4F4F4" w:val="clear"/>
        <w:spacing w:after="60" w:before="60"/>
      </w:pPr>
      <w:r>
        <w:rPr>
          <w:rFonts w:ascii="Courier New" w:cs="Courier New" w:eastAsia="Courier New" w:hAnsi="Courier New"/>
          <w:i/>
          <w:iCs/>
          <w:color w:val="333333"/>
          <w:sz w:val="20"/>
          <w:szCs w:val="20"/>
        </w:rPr>
        <w:t xml:space="preserve">rules = association_rules(frequent_itemsets, metric='confidence', min_threshold=0.6)
rules = rules[['antecedents','consequents','support','confidence','lift','conviction']]
print(rules.sort_values('lift', ascending=False))</w:t>
      </w:r>
    </w:p>
    <w:p>
      <w:pPr>
        <w:spacing w:after="80" w:before="200"/>
      </w:pPr>
      <w:r>
        <w:rPr>
          <w:rFonts w:ascii="Arial" w:cs="Arial" w:eastAsia="Arial" w:hAnsi="Arial"/>
          <w:b/>
          <w:bCs/>
          <w:color w:val="000000"/>
          <w:sz w:val="24"/>
          <w:szCs w:val="24"/>
        </w:rPr>
        <w:t xml:space="preserve">Step 5: Visualise Rules</w:t>
      </w:r>
    </w:p>
    <w:p>
      <w:pPr>
        <w:shd w:fill="F4F4F4" w:val="clear"/>
        <w:spacing w:after="60" w:before="60"/>
      </w:pPr>
      <w:r>
        <w:rPr>
          <w:rFonts w:ascii="Courier New" w:cs="Courier New" w:eastAsia="Courier New" w:hAnsi="Courier New"/>
          <w:i/>
          <w:iCs/>
          <w:color w:val="333333"/>
          <w:sz w:val="20"/>
          <w:szCs w:val="20"/>
        </w:rPr>
        <w:t xml:space="preserve"># Scatter plot: support vs confidence
plt.scatter(rules['support'], rules['confidence'], c=rules['lift'], cmap='viridis')
plt.xlabel('Support')
plt.ylabel('Confidence')
plt.colorbar(label='Lift')
plt.show()
# Network graph of top rules
top_rules = rules.nlargest(10, 'lift')
G = nx.DiGraph()
for _, row in top_rules.iterrows():
    ant = str(list(row['antecedents']))
    con = str(list(row['consequents']))
    G.add_edge(ant, con, weight=row['lift'])
pos = nx.spring_layout(G)
nx.draw(G, pos, with_labels=True, node_size=2000, node_color='lightblue', font_size=8)
plt.show()</w:t>
      </w:r>
    </w:p>
    <w:p>
      <w:pPr>
        <w:spacing w:after="80" w:before="200"/>
      </w:pPr>
      <w:r>
        <w:rPr>
          <w:rFonts w:ascii="Arial" w:cs="Arial" w:eastAsia="Arial" w:hAnsi="Arial"/>
          <w:b/>
          <w:bCs/>
          <w:color w:val="000000"/>
          <w:sz w:val="24"/>
          <w:szCs w:val="24"/>
        </w:rPr>
        <w:t xml:space="preserve">Step 6: Interpretation</w:t>
      </w:r>
    </w:p>
    <w:p>
      <w:pPr>
        <w:pStyle w:val="ListParagraph"/>
        <w:numPr>
          <w:ilvl w:val="0"/>
          <w:numId w:val="2"/>
        </w:numPr>
        <w:spacing w:after="40" w:before="40"/>
      </w:pPr>
      <w:r>
        <w:rPr>
          <w:rFonts w:ascii="Arial" w:cs="Arial" w:eastAsia="Arial" w:hAnsi="Arial"/>
          <w:color w:val="1F4E79"/>
          <w:sz w:val="21"/>
          <w:szCs w:val="21"/>
        </w:rPr>
        <w:t xml:space="preserve">If {Bread, Butter} → {Milk} has support=0.3, confidence=0.85, lift=1.4 → 30% of transactions contain all three; when Bread and Butter are bought, 85% of the time Milk is also bought; lift&gt;1 indicates positive association.</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CONCLUSION:</w:t>
      </w:r>
    </w:p>
    <w:p>
      <w:pPr>
        <w:pStyle w:val="ListParagraph"/>
        <w:numPr>
          <w:ilvl w:val="0"/>
          <w:numId w:val="2"/>
        </w:numPr>
        <w:spacing w:after="40" w:before="40"/>
      </w:pPr>
      <w:r>
        <w:rPr>
          <w:rFonts w:ascii="Arial" w:cs="Arial" w:eastAsia="Arial" w:hAnsi="Arial"/>
          <w:color w:val="1F4E79"/>
          <w:sz w:val="21"/>
          <w:szCs w:val="21"/>
        </w:rPr>
        <w:t xml:space="preserve">Implemented Apriori algorithm to find frequent itemsets and generate association rules.</w:t>
      </w:r>
    </w:p>
    <w:p>
      <w:pPr>
        <w:pStyle w:val="ListParagraph"/>
        <w:numPr>
          <w:ilvl w:val="0"/>
          <w:numId w:val="2"/>
        </w:numPr>
        <w:spacing w:after="40" w:before="40"/>
      </w:pPr>
      <w:r>
        <w:rPr>
          <w:rFonts w:ascii="Arial" w:cs="Arial" w:eastAsia="Arial" w:hAnsi="Arial"/>
          <w:color w:val="1F4E79"/>
          <w:sz w:val="21"/>
          <w:szCs w:val="21"/>
        </w:rPr>
        <w:t xml:space="preserve">Lift and conviction helped identify truly interesting rules beyond random co‑occurrence.</w:t>
      </w:r>
    </w:p>
    <w:p>
      <w:pPr>
        <w:pStyle w:val="ListParagraph"/>
        <w:numPr>
          <w:ilvl w:val="0"/>
          <w:numId w:val="2"/>
        </w:numPr>
        <w:spacing w:after="40" w:before="40"/>
      </w:pPr>
      <w:r>
        <w:rPr>
          <w:rFonts w:ascii="Arial" w:cs="Arial" w:eastAsia="Arial" w:hAnsi="Arial"/>
          <w:color w:val="1F4E79"/>
          <w:sz w:val="21"/>
          <w:szCs w:val="21"/>
        </w:rPr>
        <w:t xml:space="preserve">Market basket analysis can optimise product placement, cross‑selling, and promotions.</w:t>
      </w:r>
    </w:p>
    <w:p>
      <w:pPr>
        <w:pStyle w:val="ListParagraph"/>
        <w:numPr>
          <w:ilvl w:val="0"/>
          <w:numId w:val="2"/>
        </w:numPr>
        <w:spacing w:after="40" w:before="40"/>
      </w:pPr>
      <w:r>
        <w:rPr>
          <w:rFonts w:ascii="Arial" w:cs="Arial" w:eastAsia="Arial" w:hAnsi="Arial"/>
          <w:color w:val="1F4E79"/>
          <w:sz w:val="21"/>
          <w:szCs w:val="21"/>
        </w:rPr>
        <w:t xml:space="preserve">Apriori principle significantly reduces computational cost compared to brute force.</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FAQs:</w:t>
      </w:r>
    </w:p>
    <w:p>
      <w:pPr>
        <w:spacing w:after="70" w:before="200"/>
      </w:pPr>
      <w:r>
        <w:rPr>
          <w:rFonts w:ascii="Arial" w:cs="Arial" w:eastAsia="Arial" w:hAnsi="Arial"/>
          <w:b/>
          <w:bCs/>
          <w:color w:val="000000"/>
          <w:sz w:val="22"/>
          <w:szCs w:val="22"/>
        </w:rPr>
        <w:t xml:space="preserve">Q1. What is the Apriori principle?</w:t>
      </w:r>
    </w:p>
    <w:p>
      <w:pPr>
        <w:pStyle w:val="ListParagraph"/>
        <w:numPr>
          <w:ilvl w:val="0"/>
          <w:numId w:val="2"/>
        </w:numPr>
        <w:spacing w:after="40" w:before="40"/>
      </w:pPr>
      <w:r>
        <w:rPr>
          <w:rFonts w:ascii="Arial" w:cs="Arial" w:eastAsia="Arial" w:hAnsi="Arial"/>
          <w:color w:val="1F4E79"/>
          <w:sz w:val="21"/>
          <w:szCs w:val="21"/>
        </w:rPr>
        <w:t xml:space="preserve">If an itemset is frequent, all its subsets are frequent. Conversely, if an itemset is infrequent, all its supersets are infrequent (used for pruning).</w:t>
      </w:r>
    </w:p>
    <w:p>
      <w:pPr>
        <w:spacing w:after="70" w:before="200"/>
      </w:pPr>
      <w:r>
        <w:rPr>
          <w:rFonts w:ascii="Arial" w:cs="Arial" w:eastAsia="Arial" w:hAnsi="Arial"/>
          <w:b/>
          <w:bCs/>
          <w:color w:val="000000"/>
          <w:sz w:val="22"/>
          <w:szCs w:val="22"/>
        </w:rPr>
        <w:t xml:space="preserve">Q2. What are the different steps involved in the Apriori algorithm?</w:t>
      </w:r>
    </w:p>
    <w:p>
      <w:pPr>
        <w:pStyle w:val="ListParagraph"/>
        <w:numPr>
          <w:ilvl w:val="0"/>
          <w:numId w:val="2"/>
        </w:numPr>
        <w:spacing w:after="40" w:before="40"/>
      </w:pPr>
      <w:r>
        <w:rPr>
          <w:rFonts w:ascii="Arial" w:cs="Arial" w:eastAsia="Arial" w:hAnsi="Arial"/>
          <w:color w:val="1F4E79"/>
          <w:sz w:val="21"/>
          <w:szCs w:val="21"/>
        </w:rPr>
        <w:t xml:space="preserve">(1) Generate candidates, (2) Count support, (3) Prune infrequent, (4) Repeat for larger itemsets, (5) Generate rules.</w:t>
      </w:r>
    </w:p>
    <w:p>
      <w:pPr>
        <w:spacing w:after="70" w:before="200"/>
      </w:pPr>
      <w:r>
        <w:rPr>
          <w:rFonts w:ascii="Arial" w:cs="Arial" w:eastAsia="Arial" w:hAnsi="Arial"/>
          <w:b/>
          <w:bCs/>
          <w:color w:val="000000"/>
          <w:sz w:val="22"/>
          <w:szCs w:val="22"/>
        </w:rPr>
        <w:t xml:space="preserve">Q3. Describe the minimum support threshold.</w:t>
      </w:r>
    </w:p>
    <w:p>
      <w:pPr>
        <w:pStyle w:val="ListParagraph"/>
        <w:numPr>
          <w:ilvl w:val="0"/>
          <w:numId w:val="2"/>
        </w:numPr>
        <w:spacing w:after="40" w:before="40"/>
      </w:pPr>
      <w:r>
        <w:rPr>
          <w:rFonts w:ascii="Arial" w:cs="Arial" w:eastAsia="Arial" w:hAnsi="Arial"/>
          <w:color w:val="1F4E79"/>
          <w:sz w:val="21"/>
          <w:szCs w:val="21"/>
        </w:rPr>
        <w:t xml:space="preserve">Minimum support is the fraction of transactions that must contain an itemset for it to be considered frequent. Lower support yields more itemsets but increases computation.</w:t>
      </w:r>
    </w:p>
    <w:p>
      <w:pPr>
        <w:spacing w:after="70" w:before="200"/>
      </w:pPr>
      <w:r>
        <w:rPr>
          <w:rFonts w:ascii="Arial" w:cs="Arial" w:eastAsia="Arial" w:hAnsi="Arial"/>
          <w:b/>
          <w:bCs/>
          <w:color w:val="000000"/>
          <w:sz w:val="22"/>
          <w:szCs w:val="22"/>
        </w:rPr>
        <w:t xml:space="preserve">Q4. Describe the minimum confidence threshold.</w:t>
      </w:r>
    </w:p>
    <w:p>
      <w:pPr>
        <w:pStyle w:val="ListParagraph"/>
        <w:numPr>
          <w:ilvl w:val="0"/>
          <w:numId w:val="2"/>
        </w:numPr>
        <w:spacing w:after="40" w:before="40"/>
      </w:pPr>
      <w:r>
        <w:rPr>
          <w:rFonts w:ascii="Arial" w:cs="Arial" w:eastAsia="Arial" w:hAnsi="Arial"/>
          <w:color w:val="1F4E79"/>
          <w:sz w:val="21"/>
          <w:szCs w:val="21"/>
        </w:rPr>
        <w:t xml:space="preserve">Minimum confidence is the conditional probability required for a rule to be accepted. For rule X→Y, confidence = P(Y|X). Higher confidence means stronger implication.</w:t>
      </w:r>
    </w:p>
    <w:p>
      <w:pPr>
        <w:spacing w:after="70" w:before="200"/>
      </w:pPr>
      <w:r>
        <w:rPr>
          <w:rFonts w:ascii="Arial" w:cs="Arial" w:eastAsia="Arial" w:hAnsi="Arial"/>
          <w:b/>
          <w:bCs/>
          <w:color w:val="000000"/>
          <w:sz w:val="22"/>
          <w:szCs w:val="22"/>
        </w:rPr>
        <w:t xml:space="preserve">Q5. How are frequent itemsets identified using Apriori?</w:t>
      </w:r>
    </w:p>
    <w:p>
      <w:pPr>
        <w:pStyle w:val="ListParagraph"/>
        <w:numPr>
          <w:ilvl w:val="0"/>
          <w:numId w:val="2"/>
        </w:numPr>
        <w:spacing w:after="40" w:before="40"/>
      </w:pPr>
      <w:r>
        <w:rPr>
          <w:rFonts w:ascii="Arial" w:cs="Arial" w:eastAsia="Arial" w:hAnsi="Arial"/>
          <w:color w:val="1F4E79"/>
          <w:sz w:val="21"/>
          <w:szCs w:val="21"/>
        </w:rPr>
        <w:t xml:space="preserve">By iteratively generating candidate itemsets of increasing size and testing their support against the min_support threshold, pruning those that fail.</w:t>
      </w:r>
    </w:p>
    <w:p>
      <w:pPr>
        <w:spacing w:after="70" w:before="200"/>
      </w:pPr>
      <w:r>
        <w:rPr>
          <w:rFonts w:ascii="Arial" w:cs="Arial" w:eastAsia="Arial" w:hAnsi="Arial"/>
          <w:b/>
          <w:bCs/>
          <w:color w:val="000000"/>
          <w:sz w:val="22"/>
          <w:szCs w:val="22"/>
        </w:rPr>
        <w:t xml:space="preserve">Q6. How are association rules generated using Apriori?</w:t>
      </w:r>
    </w:p>
    <w:p>
      <w:pPr>
        <w:pStyle w:val="ListParagraph"/>
        <w:numPr>
          <w:ilvl w:val="0"/>
          <w:numId w:val="2"/>
        </w:numPr>
        <w:spacing w:after="40" w:before="40"/>
      </w:pPr>
      <w:r>
        <w:rPr>
          <w:rFonts w:ascii="Arial" w:cs="Arial" w:eastAsia="Arial" w:hAnsi="Arial"/>
          <w:color w:val="1F4E79"/>
          <w:sz w:val="21"/>
          <w:szCs w:val="21"/>
        </w:rPr>
        <w:t xml:space="preserve">From each frequent itemset I, generate all possible rules of the form S → (I\S) where S is a non‑empty subset. Keep rules with confidence ≥ min_conf.</w:t>
      </w:r>
    </w:p>
    <w:p>
      <w:pPr>
        <w:spacing w:after="70" w:before="200"/>
      </w:pPr>
      <w:r>
        <w:rPr>
          <w:rFonts w:ascii="Arial" w:cs="Arial" w:eastAsia="Arial" w:hAnsi="Arial"/>
          <w:b/>
          <w:bCs/>
          <w:color w:val="000000"/>
          <w:sz w:val="22"/>
          <w:szCs w:val="22"/>
        </w:rPr>
        <w:t xml:space="preserve">Q7. How can Apriori be used to detect credit card fraud in real time?</w:t>
      </w:r>
    </w:p>
    <w:p>
      <w:pPr>
        <w:pStyle w:val="ListParagraph"/>
        <w:numPr>
          <w:ilvl w:val="0"/>
          <w:numId w:val="2"/>
        </w:numPr>
        <w:spacing w:after="40" w:before="40"/>
      </w:pPr>
      <w:r>
        <w:rPr>
          <w:rFonts w:ascii="Arial" w:cs="Arial" w:eastAsia="Arial" w:hAnsi="Arial"/>
          <w:color w:val="1F4E79"/>
          <w:sz w:val="21"/>
          <w:szCs w:val="21"/>
        </w:rPr>
        <w:t xml:space="preserve">By mining frequent patterns of fraudulent transactions (e.g., small amount followed by large amount, unusual merchant categories). Rules with high lift can trigger alerts. However, real‑time requires optimised algorithms (FP‑Growth) and streaming data handling.</w:t>
      </w:r>
    </w:p>
    <w:p>
      <w:pPr>
        <w:spacing w:after="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2026-04-07T20:43:25.676Z</dcterms:created>
  <dcterms:modified xsi:type="dcterms:W3CDTF">2026-04-07T20:43:25.676Z</dcterms:modified>
</cp:coreProperties>
</file>

<file path=docProps/custom.xml><?xml version="1.0" encoding="utf-8"?>
<Properties xmlns="http://schemas.openxmlformats.org/officeDocument/2006/custom-properties" xmlns:vt="http://schemas.openxmlformats.org/officeDocument/2006/docPropsVTypes"/>
</file>