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54747" w:val="clear"/>
            <w:tcMar>
              <w:top w:type="dxa" w:w="215"/>
              <w:left w:type="dxa" w:w="288"/>
              <w:bottom w:type="dxa" w:w="215"/>
              <w:right w:type="dxa" w:w="288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PROCEDURE COMPETENCY ASSESSMENT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FFFFFF"/>
                <w:sz w:val="24"/>
                <w:szCs w:val="24"/>
              </w:rPr>
              <w:t xml:space="preserve">Sample Procedure Name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2E74B5" w:sz="8"/>
          <w:left w:val="single" w:color="2E74B5" w:sz="24"/>
          <w:bottom w:val="single" w:color="2E74B5" w:sz="8"/>
          <w:right w:val="single" w:color="2E74B5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EEBF7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2"/>
                <w:szCs w:val="22"/>
              </w:rPr>
              <w:t xml:space="preserve">TEMPLATE GUIDE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template demonstrates all assessment capabilities. Teal-highlighted notes explain each element. Remove helper notes when generating actual assessments.</w:t>
            </w:r>
          </w:p>
        </w:tc>
      </w:tr>
    </w:tbl>
    <w:p>
      <w:pPr>
        <w:spacing w:before="200"/>
      </w:pPr>
    </w:p>
    <w:p>
      <w:pPr>
        <w:shd w:fill="E8F4F4" w:val="clear"/>
        <w:spacing w:before="120"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Complete this assessment after reviewing the procedure. A score of 80% or higher demonstrates proficiency. You may refer to the procedure while completing this assessment.</w:t>
      </w:r>
    </w:p>
    <w:p>
      <w:pPr>
        <w:spacing w:before="120" w:after="60"/>
      </w:pPr>
      <w:r>
        <w:rPr>
          <w:rFonts w:ascii="Calibri" w:cs="Calibri" w:eastAsia="Calibri" w:hAnsi="Calibri"/>
          <w:sz w:val="22"/>
          <w:szCs w:val="22"/>
        </w:rPr>
        <w:t xml:space="preserve">Employee Name: ___________________________ </w:t>
      </w:r>
      <w:r>
        <w:rPr>
          <w:rFonts w:ascii="Calibri" w:cs="Calibri" w:eastAsia="Calibri" w:hAnsi="Calibri"/>
          <w:sz w:val="22"/>
          <w:szCs w:val="22"/>
        </w:rPr>
        <w:t xml:space="preserve">Date: _______________</w:t>
      </w:r>
    </w:p>
    <w:p>
      <w:pPr>
        <w:pBdr>
          <w:bottom w:val="single" w:color="154747" w:sz="12"/>
        </w:pBdr>
        <w:spacing w:before="300" w:after="120"/>
      </w:pPr>
      <w:r>
        <w:rPr>
          <w:rFonts w:ascii="Calibri" w:cs="Calibri" w:eastAsia="Calibri" w:hAnsi="Calibri"/>
          <w:b/>
          <w:bCs/>
          <w:color w:val="154747"/>
          <w:sz w:val="24"/>
          <w:szCs w:val="24"/>
        </w:rPr>
        <w:t xml:space="preserve">SECTION 1: PROCEDURE KNOWLEDGE (70%)</w:t>
      </w:r>
    </w:p>
    <w:p>
      <w:pPr>
        <w:shd w:fill="E8F4F4" w:val="clear"/>
        <w:spacing w:before="60"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This section tests recall of specific procedure steps, values, and requirements. Questions are auto-generated from procedure content.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What is the FIRST step in the Card Issuance process?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a) Print the card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b) Verify member identity with two forms of ID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c) Have member enter PIN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d) Log in to CardWizard Pro</w:t>
      </w:r>
    </w:p>
    <w:p>
      <w:pPr>
        <w:shd w:fill="E8F4F4" w:val="clear"/>
        <w:spacing w:before="80" w:after="60"/>
        <w:ind w:left="504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ORDERING QUESTION: Tests sequence knowledge. Distractors are other steps from the same procedure.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[True/False] </w:t>
      </w:r>
      <w:r>
        <w:rPr>
          <w:rFonts w:ascii="Calibri" w:cs="Calibri" w:eastAsia="Calibri" w:hAnsi="Calibri"/>
          <w:sz w:val="22"/>
          <w:szCs w:val="22"/>
        </w:rPr>
        <w:t xml:space="preserve">Cards must always be activated before handing to the member, even when reprinting a replacement card.</w:t>
      </w:r>
    </w:p>
    <w:p>
      <w:pPr>
        <w:shd w:fill="E8F4F4" w:val="clear"/>
        <w:spacing w:before="80" w:after="60"/>
        <w:ind w:left="504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TRUE/FALSE QUESTION: Derived from CRITICAL callout. Prefer true answers (60% true, 40% false).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What is the Consumer Debit BIN number according to the Quick Reference?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a) 400012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b) 400015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c) 400018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d) 400021</w:t>
      </w:r>
    </w:p>
    <w:p>
      <w:pPr>
        <w:shd w:fill="E8F4F4" w:val="clear"/>
        <w:spacing w:before="80" w:after="60"/>
        <w:ind w:left="504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RECALL QUESTION: Tests specific values from Quick Reference box. Use similar but incorrect numbers as distractors.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What must you verify BEFORE proceeding with card printing?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</w:t>
      </w:r>
    </w:p>
    <w:p>
      <w:pPr>
        <w:shd w:fill="E8F4F4" w:val="clear"/>
        <w:spacing w:before="80" w:after="60"/>
        <w:ind w:left="504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FILL-IN-BLANK QUESTION: Tests application knowledge. Answer should be directly extractable from procedure.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To access Card Services, navigate to: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a) Tools &gt; Card Services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b) Member &gt; Cards &gt; Services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c) Administration &gt; Card Management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d) Services &gt; Card Issuance</w:t>
      </w:r>
    </w:p>
    <w:p>
      <w:pPr>
        <w:shd w:fill="E8F4F4" w:val="clear"/>
        <w:spacing w:before="80" w:after="60"/>
        <w:ind w:left="504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NAVIGATION QUESTION: Tests system navigation paths from procedure steps.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[True/False] </w:t>
      </w:r>
      <w:r>
        <w:rPr>
          <w:rFonts w:ascii="Calibri" w:cs="Calibri" w:eastAsia="Calibri" w:hAnsi="Calibri"/>
          <w:sz w:val="22"/>
          <w:szCs w:val="22"/>
        </w:rPr>
        <w:t xml:space="preserve">It is acceptable to leave the card printer unattended during card creation if you step away briefly.</w:t>
      </w:r>
    </w:p>
    <w:p>
      <w:pPr>
        <w:shd w:fill="E8F4F4" w:val="clear"/>
        <w:spacing w:before="80" w:after="60"/>
        <w:ind w:left="504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TRUE/FALSE QUESTION: Derived from WARNING callout. This is a FALSE statement testing prohibited actions.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What is the CardWizard support phone number?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highlight w:val="yellow"/>
          <w:highlightCs w:val="yellow"/>
        </w:rPr>
        <w:t xml:space="preserve">[VERIFY: confirm current number]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a) 1-800-237-3387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b) 1-800-555-1234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c) 1-888-237-3387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d) 1-800-CARDPRO</w:t>
      </w:r>
    </w:p>
    <w:p>
      <w:pPr>
        <w:shd w:fill="E8F4F4" w:val="clear"/>
        <w:spacing w:before="80" w:after="60"/>
        <w:ind w:left="504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INTERVENTION MARKER: [VERIFY] indicates the value needs confirmation. Do not generate questions about unverified values in production.</w:t>
      </w:r>
    </w:p>
    <w:p>
      <w:pPr>
        <w:pBdr>
          <w:bottom w:val="single" w:color="154747" w:sz="12"/>
        </w:pBdr>
        <w:spacing w:before="300" w:after="120"/>
      </w:pPr>
      <w:r>
        <w:rPr>
          <w:rFonts w:ascii="Calibri" w:cs="Calibri" w:eastAsia="Calibri" w:hAnsi="Calibri"/>
          <w:b/>
          <w:bCs/>
          <w:color w:val="154747"/>
          <w:sz w:val="24"/>
          <w:szCs w:val="24"/>
        </w:rPr>
        <w:t xml:space="preserve">SECTION 2: SCENARIO APPLICATIONS (30%)</w:t>
      </w:r>
    </w:p>
    <w:p>
      <w:pPr>
        <w:shd w:fill="E8F4F4" w:val="clear"/>
        <w:spacing w:before="60" w:after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Scenario questions test decision-making and application of procedure knowledge. These may require SME review to ensure scenarios are realistic.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member requests a replacement debit card because their current card is damaged. When you look up the account, you notice it shows a 'Restricted' status. </w:t>
      </w:r>
      <w:r>
        <w:rPr>
          <w:rFonts w:ascii="Calibri" w:cs="Calibri" w:eastAsia="Calibri" w:hAnsi="Calibri"/>
          <w:sz w:val="22"/>
          <w:szCs w:val="22"/>
        </w:rPr>
        <w:t xml:space="preserve">According to the procedure, what should you do?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a) Issue the replacement card anyway since the member has ID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b) Contact your supervisor before proceeding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c) Tell the member they cannot have a card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d) Remove the restriction and issue the card</w:t>
      </w:r>
    </w:p>
    <w:p>
      <w:pPr>
        <w:shd w:fill="E8F4F4" w:val="clear"/>
        <w:spacing w:before="80" w:after="60"/>
        <w:ind w:left="504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SCENARIO QUESTION: Tests decision-making at procedure decision points. Requires clear correct answer from procedure.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You are processing a card issuance when the card printer displays an error and jams. After clearing the jam and retrying, the error persists. </w:t>
      </w:r>
      <w:r>
        <w:rPr>
          <w:rFonts w:ascii="Calibri" w:cs="Calibri" w:eastAsia="Calibri" w:hAnsi="Calibri"/>
          <w:sz w:val="22"/>
          <w:szCs w:val="22"/>
        </w:rPr>
        <w:t xml:space="preserve">What is the correct next step? </w:t>
      </w: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  <w:highlight w:val="yellow"/>
          <w:highlightCs w:val="yellow"/>
        </w:rPr>
        <w:t xml:space="preserve">[SME INPUT REQUIRED: verify escalation path]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a) Keep trying until it works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b) Contact IT Help Desk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c) Ask a colleague to use their printer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0"/>
          <w:szCs w:val="20"/>
        </w:rPr>
        <w:t xml:space="preserve">d) Tell the member to come back later</w:t>
      </w:r>
    </w:p>
    <w:p>
      <w:pPr>
        <w:shd w:fill="E8F4F4" w:val="clear"/>
        <w:spacing w:before="80" w:after="60"/>
        <w:ind w:left="504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[SME INPUT REQUIRED] marker indicates this scenario needs SME verification before use in production assessment.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Why is it important to verify the account number matches the member's ID before proceeding with card issuance?</w:t>
      </w:r>
    </w:p>
    <w:p>
      <w:pPr>
        <w:spacing w:before="60" w:after="60"/>
        <w:ind w:left="504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</w:t>
      </w:r>
    </w:p>
    <w:p>
      <w:pPr>
        <w:shd w:fill="E8F4F4" w:val="clear"/>
        <w:spacing w:before="80" w:after="60"/>
        <w:ind w:left="504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APPLICATION QUESTION: Tests understanding of 'why' behind procedure steps. Answer should be derivable from procedure context.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54747" w:val="clear"/>
            <w:tcMar>
              <w:top w:type="dxa" w:w="144"/>
              <w:left w:type="dxa" w:w="288"/>
              <w:bottom w:type="dxa" w:w="144"/>
              <w:right w:type="dxa" w:w="288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ANSWER KEY - SUPERVISOR USE ONLY</w:t>
            </w:r>
          </w:p>
        </w:tc>
      </w:tr>
    </w:tbl>
    <w:p>
      <w:pPr>
        <w:shd w:fill="E8F4F4" w:val="clear"/>
        <w:spacing w:before="120"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Each answer includes the source reference (step number, callout, or section) for verification.</w:t>
      </w:r>
    </w:p>
    <w:p>
      <w:pPr>
        <w:pBdr>
          <w:bottom w:val="single" w:color="154747" w:sz="12"/>
        </w:pBdr>
        <w:spacing w:before="300" w:after="120"/>
      </w:pPr>
      <w:r>
        <w:rPr>
          <w:rFonts w:ascii="Calibri" w:cs="Calibri" w:eastAsia="Calibri" w:hAnsi="Calibri"/>
          <w:b/>
          <w:bCs/>
          <w:color w:val="154747"/>
          <w:sz w:val="24"/>
          <w:szCs w:val="24"/>
        </w:rPr>
        <w:t xml:space="preserve">SECTION 1 ANSWERS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54747"/>
          <w:sz w:val="20"/>
          <w:szCs w:val="20"/>
        </w:rPr>
        <w:t xml:space="preserve">B </w:t>
      </w:r>
      <w:r>
        <w:rPr>
          <w:rFonts w:ascii="Calibri" w:cs="Calibri" w:eastAsia="Calibri" w:hAnsi="Calibri"/>
          <w:sz w:val="20"/>
          <w:szCs w:val="20"/>
        </w:rPr>
        <w:t xml:space="preserve">- Verify member identity with two forms of ID (Step 1 - first step in procedure)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54747"/>
          <w:sz w:val="20"/>
          <w:szCs w:val="20"/>
        </w:rPr>
        <w:t xml:space="preserve">True </w:t>
      </w:r>
      <w:r>
        <w:rPr>
          <w:rFonts w:ascii="Calibri" w:cs="Calibri" w:eastAsia="Calibri" w:hAnsi="Calibri"/>
          <w:sz w:val="20"/>
          <w:szCs w:val="20"/>
        </w:rPr>
        <w:t xml:space="preserve">- CRITICAL callout states cards must always be activated before handing to member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54747"/>
          <w:sz w:val="20"/>
          <w:szCs w:val="20"/>
        </w:rPr>
        <w:t xml:space="preserve">A </w:t>
      </w:r>
      <w:r>
        <w:rPr>
          <w:rFonts w:ascii="Calibri" w:cs="Calibri" w:eastAsia="Calibri" w:hAnsi="Calibri"/>
          <w:sz w:val="20"/>
          <w:szCs w:val="20"/>
        </w:rPr>
        <w:t xml:space="preserve">- 400012 is the Consumer Debit BIN (Quick Reference box)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54747"/>
          <w:sz w:val="20"/>
          <w:szCs w:val="20"/>
        </w:rPr>
        <w:t xml:space="preserve">Account information matches member ID </w:t>
      </w:r>
      <w:r>
        <w:rPr>
          <w:rFonts w:ascii="Calibri" w:cs="Calibri" w:eastAsia="Calibri" w:hAnsi="Calibri"/>
          <w:sz w:val="20"/>
          <w:szCs w:val="20"/>
        </w:rPr>
        <w:t xml:space="preserve">- Step 4 requires verification before proceeding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154747"/>
          <w:sz w:val="20"/>
          <w:szCs w:val="20"/>
        </w:rPr>
        <w:t xml:space="preserve">A </w:t>
      </w:r>
      <w:r>
        <w:rPr>
          <w:rFonts w:ascii="Calibri" w:cs="Calibri" w:eastAsia="Calibri" w:hAnsi="Calibri"/>
          <w:sz w:val="20"/>
          <w:szCs w:val="20"/>
        </w:rPr>
        <w:t xml:space="preserve">- Tools &gt; Card Services (Step 2 navigation path)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154747"/>
          <w:sz w:val="20"/>
          <w:szCs w:val="20"/>
        </w:rPr>
        <w:t xml:space="preserve">False </w:t>
      </w:r>
      <w:r>
        <w:rPr>
          <w:rFonts w:ascii="Calibri" w:cs="Calibri" w:eastAsia="Calibri" w:hAnsi="Calibri"/>
          <w:sz w:val="20"/>
          <w:szCs w:val="20"/>
        </w:rPr>
        <w:t xml:space="preserve">- WARNING callout prohibits leaving printer unattended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 </w:t>
      </w:r>
      <w:r>
        <w:rPr>
          <w:rFonts w:ascii="Calibri" w:cs="Calibri" w:eastAsia="Calibri" w:hAnsi="Calibri"/>
          <w:b/>
          <w:bCs/>
          <w:color w:val="154747"/>
          <w:sz w:val="20"/>
          <w:szCs w:val="20"/>
        </w:rPr>
        <w:t xml:space="preserve">A </w:t>
      </w:r>
      <w:r>
        <w:rPr>
          <w:rFonts w:ascii="Calibri" w:cs="Calibri" w:eastAsia="Calibri" w:hAnsi="Calibri"/>
          <w:sz w:val="20"/>
          <w:szCs w:val="20"/>
        </w:rPr>
        <w:t xml:space="preserve">- 1-800-237-3387 (Quick Contacts section)</w:t>
      </w:r>
    </w:p>
    <w:p>
      <w:pPr>
        <w:pBdr>
          <w:bottom w:val="single" w:color="154747" w:sz="12"/>
        </w:pBdr>
        <w:spacing w:before="300" w:after="120"/>
      </w:pPr>
      <w:r>
        <w:rPr>
          <w:rFonts w:ascii="Calibri" w:cs="Calibri" w:eastAsia="Calibri" w:hAnsi="Calibri"/>
          <w:b/>
          <w:bCs/>
          <w:color w:val="154747"/>
          <w:sz w:val="24"/>
          <w:szCs w:val="24"/>
        </w:rPr>
        <w:t xml:space="preserve">SECTION 2 ANSWERS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8. </w:t>
      </w:r>
      <w:r>
        <w:rPr>
          <w:rFonts w:ascii="Calibri" w:cs="Calibri" w:eastAsia="Calibri" w:hAnsi="Calibri"/>
          <w:b/>
          <w:bCs/>
          <w:color w:val="154747"/>
          <w:sz w:val="20"/>
          <w:szCs w:val="20"/>
        </w:rPr>
        <w:t xml:space="preserve">B </w:t>
      </w:r>
      <w:r>
        <w:rPr>
          <w:rFonts w:ascii="Calibri" w:cs="Calibri" w:eastAsia="Calibri" w:hAnsi="Calibri"/>
          <w:sz w:val="20"/>
          <w:szCs w:val="20"/>
        </w:rPr>
        <w:t xml:space="preserve">- Contact supervisor for restricted accounts (Troubleshooting section)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9. </w:t>
      </w:r>
      <w:r>
        <w:rPr>
          <w:rFonts w:ascii="Calibri" w:cs="Calibri" w:eastAsia="Calibri" w:hAnsi="Calibri"/>
          <w:b/>
          <w:bCs/>
          <w:color w:val="154747"/>
          <w:sz w:val="20"/>
          <w:szCs w:val="20"/>
        </w:rPr>
        <w:t xml:space="preserve">B </w:t>
      </w:r>
      <w:r>
        <w:rPr>
          <w:rFonts w:ascii="Calibri" w:cs="Calibri" w:eastAsia="Calibri" w:hAnsi="Calibri"/>
          <w:sz w:val="20"/>
          <w:szCs w:val="20"/>
        </w:rPr>
        <w:t xml:space="preserve">- Contact IT Help Desk for persistent errors (Escalation procedure)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10. </w:t>
      </w:r>
      <w:r>
        <w:rPr>
          <w:rFonts w:ascii="Calibri" w:cs="Calibri" w:eastAsia="Calibri" w:hAnsi="Calibri"/>
          <w:b/>
          <w:bCs/>
          <w:color w:val="154747"/>
          <w:sz w:val="20"/>
          <w:szCs w:val="20"/>
        </w:rPr>
        <w:t xml:space="preserve">To prevent issuing cards to unauthorized individuals / fraud prevention </w:t>
      </w:r>
      <w:r>
        <w:rPr>
          <w:rFonts w:ascii="Calibri" w:cs="Calibri" w:eastAsia="Calibri" w:hAnsi="Calibri"/>
          <w:sz w:val="20"/>
          <w:szCs w:val="20"/>
        </w:rPr>
        <w:t xml:space="preserve">- Security requirement from procedure overview</w:t>
      </w:r>
    </w:p>
    <w:p>
      <w:pPr>
        <w:spacing w:before="300"/>
      </w:pPr>
    </w:p>
    <w:tbl>
      <w:tblPr>
        <w:tblW w:type="pct" w:w="100%"/>
        <w:tblBorders>
          <w:top w:val="single" w:color="154747" w:sz="8"/>
          <w:left w:val="single" w:color="154747" w:sz="8"/>
          <w:bottom w:val="single" w:color="154747" w:sz="8"/>
          <w:right w:val="single" w:color="15474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4F4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747"/>
                <w:sz w:val="24"/>
                <w:szCs w:val="24"/>
              </w:rPr>
              <w:t xml:space="preserve">SCORING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Score: _____ / 10 correct = _____%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 threshold: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80% (8/10 or higher)</w:t>
            </w:r>
          </w:p>
          <w:p>
            <w:pPr>
              <w:spacing w:before="1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Recommended actions for scores below 80%: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procedure with supervisor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Shadow experienced staff member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Retake assessment after additional training</w:t>
            </w:r>
          </w:p>
        </w:tc>
      </w:tr>
    </w:tbl>
    <w:p>
      <w:pPr>
        <w:spacing w:before="200"/>
      </w:pPr>
    </w:p>
    <w:p>
      <w:pPr>
        <w:spacing w:before="120"/>
      </w:pPr>
      <w:r>
        <w:rPr>
          <w:rFonts w:ascii="Calibri" w:cs="Calibri" w:eastAsia="Calibri" w:hAnsi="Calibri"/>
          <w:b/>
          <w:bCs/>
          <w:color w:val="154747"/>
          <w:sz w:val="22"/>
          <w:szCs w:val="22"/>
        </w:rPr>
        <w:t xml:space="preserve">DISCLAIMERS</w:t>
      </w:r>
    </w:p>
    <w:p>
      <w:pPr>
        <w:pStyle w:val="ListParagraph"/>
        <w:numPr>
          <w:ilvl w:val="0"/>
          <w:numId w:val="1"/>
        </w:numPr>
        <w:spacing w:before="60"/>
      </w:pPr>
      <w:r>
        <w:rPr>
          <w:rFonts w:ascii="Calibri" w:cs="Calibri" w:eastAsia="Calibri" w:hAnsi="Calibri"/>
          <w:sz w:val="20"/>
          <w:szCs w:val="20"/>
        </w:rPr>
        <w:t xml:space="preserve">This assessment covers procedural knowledge. Visual recognition of screens should be verified through hands-on practice.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Passing this assessment demonstrates procedural knowledge but does not replace hands-on training or supervisor verification.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For compliance procedures: This assessment does not constitute compliance certification. Formal training programs may have additional requirements.</w:t>
      </w:r>
    </w:p>
    <w:sectPr>
      <w:footerReference w:type="default" r:id="rId6"/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Assessment for Sample Procedure Name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8"/>
        <w:szCs w:val="18"/>
      </w:rPr>
      <w:t xml:space="preserve">  |  v6.0.2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Template</dc:title>
  <dc:creator>TFCU Procedure Formatter</dc:creator>
  <dc:description>Comprehensive assessment template demonstrating all question types</dc:description>
  <cp:lastModifiedBy>Un-named</cp:lastModifiedBy>
  <cp:revision>1</cp:revision>
  <dcterms:created xsi:type="dcterms:W3CDTF">2025-12-03T20:39:23.918Z</dcterms:created>
  <dcterms:modified xsi:type="dcterms:W3CDTF">2025-12-03T20:39:23.919Z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