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jpg" ContentType="image/jpeg"/>
  <Override PartName="/word/media/rId29.jpg" ContentType="image/jpeg"/>
  <Override PartName="/word/media/rId33.jpg" ContentType="image/jpeg"/>
  <Override PartName="/word/media/rId37.jpg" ContentType="image/jpeg"/>
  <Override PartName="/word/media/rId41.jpg" ContentType="image/jpeg"/>
  <Override PartName="/word/media/rId45.jpg" ContentType="image/jpeg"/>
  <Override PartName="/word/media/rId49.jpg" ContentType="image/jpeg"/>
  <Override PartName="/word/media/rId53.jpg" ContentType="image/jpeg"/>
  <Override PartName="/word/media/rId57.jpg" ContentType="image/jpeg"/>
  <Override PartName="/word/media/rId61.jpg" ContentType="image/jpeg"/>
  <Override PartName="/word/media/rId65.jpg" ContentType="image/jpeg"/>
  <Override PartName="/word/media/rId69.jpg" ContentType="image/jpeg"/>
  <Override PartName="/word/media/rId73.jpg" ContentType="image/jpeg"/>
  <Override PartName="/word/media/rId79.jpg" ContentType="image/jpeg"/>
  <Override PartName="/word/media/rId83.jpg" ContentType="image/jpeg"/>
  <Override PartName="/word/media/rId87.jpg" ContentType="image/jpeg"/>
  <Override PartName="/word/media/rId91.jpg" ContentType="image/jpeg"/>
  <Override PartName="/word/media/rId95.jpg" ContentType="image/jpeg"/>
  <Override PartName="/word/media/rId99.jpg" ContentType="image/jpeg"/>
  <Override PartName="/word/media/rId103.jpg" ContentType="image/jpeg"/>
  <Override PartName="/word/media/rId107.jpg" ContentType="image/jpeg"/>
  <Override PartName="/word/media/rId111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№5</w:t>
      </w:r>
    </w:p>
    <w:p>
      <w:pPr>
        <w:pStyle w:val="Subtitle"/>
      </w:pPr>
      <w:r>
        <w:t xml:space="preserve">Имитационное моделированией</w:t>
      </w:r>
    </w:p>
    <w:p>
      <w:pPr>
        <w:pStyle w:val="Author"/>
      </w:pPr>
      <w:r>
        <w:t xml:space="preserve">Соколова Александра Олеговна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Освоить аппарат сетей Петри для моделирования параллельных и распределённых систем на примере классической задачи синхронизации «Обедающие философы». Научиться строить сети Петри, проводить имитационное моделирование (детерминированное и стохастическое), анализировать состояние взаимной блокировки (deadlock) и реализовывать механизмы её предотвращения (арбитр). Получить навыки работы с литературным программированием в Julia (Literate.jl) и генерации производных форматов (Jupyter Notebook, Quarto).</w:t>
      </w:r>
    </w:p>
    <w:bookmarkEnd w:id="9"/>
    <w:bookmarkStart w:id="10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— Создать рабочий каталог для кода.</w:t>
      </w:r>
    </w:p>
    <w:p>
      <w:pPr>
        <w:pStyle w:val="BodyText"/>
      </w:pPr>
      <w:r>
        <w:t xml:space="preserve">— Установить необходимые пакеты.</w:t>
      </w:r>
    </w:p>
    <w:p>
      <w:pPr>
        <w:pStyle w:val="BodyText"/>
      </w:pPr>
      <w:r>
        <w:t xml:space="preserve">— Выполнить предложенный код.</w:t>
      </w:r>
    </w:p>
    <w:p>
      <w:pPr>
        <w:pStyle w:val="BodyText"/>
      </w:pPr>
      <w:r>
        <w:t xml:space="preserve">— Преобразовать код в литературный стиль.</w:t>
      </w:r>
    </w:p>
    <w:p>
      <w:pPr>
        <w:pStyle w:val="BodyText"/>
      </w:pPr>
      <w:r>
        <w:t xml:space="preserve">— Сгенерировать из литературного кода:</w:t>
      </w:r>
    </w:p>
    <w:p>
      <w:pPr>
        <w:pStyle w:val="Compact"/>
        <w:numPr>
          <w:ilvl w:val="0"/>
          <w:numId w:val="1001"/>
        </w:numPr>
      </w:pPr>
      <w:r>
        <w:t xml:space="preserve">чистый код;</w:t>
      </w:r>
    </w:p>
    <w:p>
      <w:pPr>
        <w:pStyle w:val="Compact"/>
        <w:numPr>
          <w:ilvl w:val="0"/>
          <w:numId w:val="1001"/>
        </w:numPr>
      </w:pPr>
      <w:r>
        <w:t xml:space="preserve">jupyter notebook;</w:t>
      </w:r>
    </w:p>
    <w:p>
      <w:pPr>
        <w:pStyle w:val="Compact"/>
        <w:numPr>
          <w:ilvl w:val="0"/>
          <w:numId w:val="1001"/>
        </w:numPr>
      </w:pPr>
      <w:r>
        <w:t xml:space="preserve">документацию в формате Quarto.</w:t>
      </w:r>
    </w:p>
    <w:p>
      <w:pPr>
        <w:pStyle w:val="FirstParagraph"/>
      </w:pPr>
      <w:r>
        <w:t xml:space="preserve">— Выполнить код из jupyter notebook.</w:t>
      </w:r>
    </w:p>
    <w:p>
      <w:pPr>
        <w:pStyle w:val="BodyText"/>
      </w:pPr>
      <w:r>
        <w:t xml:space="preserve">— Интегрировать документацию в формате Quarto в отчёт.</w:t>
      </w:r>
    </w:p>
    <w:p>
      <w:pPr>
        <w:pStyle w:val="BodyText"/>
      </w:pPr>
      <w:r>
        <w:t xml:space="preserve">— Добавить в код в литературном стиле вычисление для набора параметров.</w:t>
      </w:r>
    </w:p>
    <w:p>
      <w:pPr>
        <w:pStyle w:val="BodyText"/>
      </w:pPr>
      <w:r>
        <w:t xml:space="preserve">— Сгенерировать из литературного кода с параметрами:</w:t>
      </w:r>
    </w:p>
    <w:p>
      <w:pPr>
        <w:pStyle w:val="Compact"/>
        <w:numPr>
          <w:ilvl w:val="0"/>
          <w:numId w:val="1002"/>
        </w:numPr>
      </w:pPr>
      <w:r>
        <w:t xml:space="preserve">чистый код;</w:t>
      </w:r>
    </w:p>
    <w:p>
      <w:pPr>
        <w:pStyle w:val="Compact"/>
        <w:numPr>
          <w:ilvl w:val="0"/>
          <w:numId w:val="1002"/>
        </w:numPr>
      </w:pPr>
      <w:r>
        <w:t xml:space="preserve">jupyter notebook;</w:t>
      </w:r>
    </w:p>
    <w:p>
      <w:pPr>
        <w:pStyle w:val="Compact"/>
        <w:numPr>
          <w:ilvl w:val="0"/>
          <w:numId w:val="1002"/>
        </w:numPr>
      </w:pPr>
      <w:r>
        <w:t xml:space="preserve">документацию в формате Quarto.</w:t>
      </w:r>
    </w:p>
    <w:p>
      <w:pPr>
        <w:pStyle w:val="FirstParagraph"/>
      </w:pPr>
      <w:r>
        <w:t xml:space="preserve">— Выполнить код из jupyter notebook с параметрами.</w:t>
      </w:r>
    </w:p>
    <w:p>
      <w:pPr>
        <w:pStyle w:val="BodyText"/>
      </w:pPr>
      <w:r>
        <w:t xml:space="preserve">— Интегрировать документацию с параметрами в формате Quarto в отчёт.</w:t>
      </w:r>
    </w:p>
    <w:bookmarkEnd w:id="10"/>
    <w:bookmarkStart w:id="24" w:name="теоретическое-введение"/>
    <w:p>
      <w:pPr>
        <w:pStyle w:val="Heading1"/>
      </w:pPr>
      <w:r>
        <w:t xml:space="preserve">3. Теоретическое введение</w:t>
      </w:r>
    </w:p>
    <w:bookmarkStart w:id="16" w:name="сети-петри"/>
    <w:p>
      <w:pPr>
        <w:pStyle w:val="Heading2"/>
      </w:pPr>
      <w:r>
        <w:t xml:space="preserve">3.1 1. Сети Петри</w:t>
      </w:r>
    </w:p>
    <w:p>
      <w:pPr>
        <w:pStyle w:val="FirstParagraph"/>
      </w:pPr>
      <w:r>
        <w:t xml:space="preserve">Сеть Петри — это математический аппарат для моделирования дискретных систем, особенно эффективный при описании параллельных, асинхронных и распределённых процессов. Графически сеть Петри представляет собой двудольный ориентированный граф, состоящий из вершин двух типов: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Позиции (places)</w:t>
      </w:r>
      <w:r>
        <w:t xml:space="preserve"> </w:t>
      </w:r>
      <w:r>
        <w:t xml:space="preserve">— пассивные элементы, обозначаемые кругами. Они описывают состояние системы (наличие ресурса, выполнение условия). Внутри позиции могут находиться</w:t>
      </w:r>
      <w:r>
        <w:t xml:space="preserve"> </w:t>
      </w:r>
      <w:r>
        <w:rPr>
          <w:b/>
          <w:bCs/>
        </w:rPr>
        <w:t xml:space="preserve">фишки (tokens)</w:t>
      </w:r>
      <w:r>
        <w:t xml:space="preserve"> </w:t>
      </w:r>
      <w:r>
        <w:t xml:space="preserve">— неотрицательное целое число, указывающее на количество ресурсов.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Переходы (transitions)</w:t>
      </w:r>
      <w:r>
        <w:t xml:space="preserve"> </w:t>
      </w:r>
      <w:r>
        <w:t xml:space="preserve">— активные элементы, обозначаемые прямоугольниками. Они моделируют события или действия, которые могут произойти в системе.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Дуги (arcs)</w:t>
      </w:r>
      <w:r>
        <w:t xml:space="preserve"> </w:t>
      </w:r>
      <w:r>
        <w:t xml:space="preserve">— направленные связи между позициями и переходами (но не между двумя позициями или двумя переходами). Входные дуги указывают, сколько фишек необходимо для срабатывания перехода; выходные дуги — сколько фишек появится после срабатывания.</w:t>
      </w:r>
    </w:p>
    <w:bookmarkStart w:id="11" w:name="правило-срабатывания-перехода"/>
    <w:p>
      <w:pPr>
        <w:pStyle w:val="Heading3"/>
      </w:pPr>
      <w:r>
        <w:t xml:space="preserve">3.1.1 Правило срабатывания перехода</w:t>
      </w:r>
    </w:p>
    <w:p>
      <w:pPr>
        <w:pStyle w:val="FirstParagraph"/>
      </w:pPr>
      <w:r>
        <w:t xml:space="preserve">Переход считается</w:t>
      </w:r>
      <w:r>
        <w:t xml:space="preserve"> </w:t>
      </w:r>
      <w:r>
        <w:rPr>
          <w:b/>
          <w:bCs/>
        </w:rPr>
        <w:t xml:space="preserve">разрешённым (enabled)</w:t>
      </w:r>
      <w:r>
        <w:t xml:space="preserve">, если каждая из его входных позиций содержит не менее фишек, чем кратность входной дуги. Разрешённый переход может</w:t>
      </w:r>
      <w:r>
        <w:t xml:space="preserve"> </w:t>
      </w:r>
      <w:r>
        <w:rPr>
          <w:b/>
          <w:bCs/>
        </w:rPr>
        <w:t xml:space="preserve">сработать (fire)</w:t>
      </w:r>
      <w:r>
        <w:t xml:space="preserve">, что приводит к:</w:t>
      </w:r>
      <w:r>
        <w:t xml:space="preserve"> </w:t>
      </w:r>
      <w:r>
        <w:t xml:space="preserve">- удалению из каждой входной позиции количества фишек, равного кратности входной дуги;</w:t>
      </w:r>
      <w:r>
        <w:t xml:space="preserve"> </w:t>
      </w:r>
      <w:r>
        <w:t xml:space="preserve">- добавлению в каждую выходную позицию количества фишек, равного кратности выходной дуги.</w:t>
      </w:r>
    </w:p>
    <w:p>
      <w:pPr>
        <w:pStyle w:val="BodyText"/>
      </w:pPr>
      <w:r>
        <w:t xml:space="preserve">Срабатывание перехода — атомарная операция, мгновенно меняющая маркировку сети.</w:t>
      </w:r>
    </w:p>
    <w:bookmarkEnd w:id="11"/>
    <w:bookmarkStart w:id="12" w:name="формальное-определение"/>
    <w:p>
      <w:pPr>
        <w:pStyle w:val="Heading3"/>
      </w:pPr>
      <w:r>
        <w:t xml:space="preserve">3.1.2 Формальное определение</w:t>
      </w:r>
    </w:p>
    <w:p>
      <w:pPr>
        <w:pStyle w:val="FirstParagraph"/>
      </w:pPr>
      <w:r>
        <w:t xml:space="preserve">Сеть Петри — это четвёрка: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N = (P, T, F, M_0),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где:</w:t>
      </w:r>
      <w:r>
        <w:t xml:space="preserve"> </w:t>
      </w:r>
      <w:r>
        <w:t xml:space="preserve">- ( P = {p_1, p_2,</w:t>
      </w:r>
      <w:r>
        <w:t xml:space="preserve"> </w:t>
      </w:r>
      <w:r>
        <w:t xml:space="preserve">, p_n} ) — конечное множество позиций;</w:t>
      </w:r>
      <w:r>
        <w:t xml:space="preserve"> </w:t>
      </w:r>
      <w:r>
        <w:t xml:space="preserve">- ( T = {t_1, t_2,</w:t>
      </w:r>
      <w:r>
        <w:t xml:space="preserve"> </w:t>
      </w:r>
      <w:r>
        <w:t xml:space="preserve">, t_m} ) — конечное множество переходов;</w:t>
      </w:r>
      <w:r>
        <w:t xml:space="preserve"> </w:t>
      </w:r>
      <w:r>
        <w:t xml:space="preserve">- ( F</w:t>
      </w:r>
      <w:r>
        <w:t xml:space="preserve"> </w:t>
      </w:r>
      <w:r>
        <w:t xml:space="preserve">(P</w:t>
      </w:r>
      <w:r>
        <w:t xml:space="preserve"> </w:t>
      </w:r>
      <w:r>
        <w:t xml:space="preserve">T)</w:t>
      </w:r>
      <w:r>
        <w:t xml:space="preserve"> </w:t>
      </w:r>
      <w:r>
        <w:t xml:space="preserve">(T</w:t>
      </w:r>
      <w:r>
        <w:t xml:space="preserve"> </w:t>
      </w:r>
      <w:r>
        <w:t xml:space="preserve">P) ) — множество дуг;</w:t>
      </w:r>
    </w:p>
    <w:bookmarkEnd w:id="12"/>
    <w:bookmarkStart w:id="13" w:name="свойства-сетей-петри"/>
    <w:p>
      <w:pPr>
        <w:pStyle w:val="Heading3"/>
      </w:pPr>
      <w:r>
        <w:t xml:space="preserve">3.1.3 Свойства сетей Петри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Ограниченность (Boundedness)</w:t>
      </w:r>
      <w:r>
        <w:t xml:space="preserve"> </w:t>
      </w:r>
      <w:r>
        <w:t xml:space="preserve">— количество фишек в любой позиции никогда не превысит заданного предела (K). При (K=1) сеть называется безопасной.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Активность (Liveness)</w:t>
      </w:r>
      <w:r>
        <w:t xml:space="preserve"> </w:t>
      </w:r>
      <w:r>
        <w:t xml:space="preserve">— для любого перехода всегда существует достижимая маркировка, в которой он может сработать (отсутствие вечных блокировок).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Достижимость (Reachability)</w:t>
      </w:r>
      <w:r>
        <w:t xml:space="preserve"> </w:t>
      </w:r>
      <w:r>
        <w:t xml:space="preserve">— возможность из начальной маркировки попасть в желаемую.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Сохраняемость (Conservation)</w:t>
      </w:r>
      <w:r>
        <w:t xml:space="preserve"> </w:t>
      </w:r>
      <w:r>
        <w:t xml:space="preserve">— взвешенная сумма фишек по всем позициям остаётся постоянной.</w:t>
      </w:r>
    </w:p>
    <w:bookmarkEnd w:id="13"/>
    <w:bookmarkStart w:id="14" w:name="методы-анализа"/>
    <w:p>
      <w:pPr>
        <w:pStyle w:val="Heading3"/>
      </w:pPr>
      <w:r>
        <w:t xml:space="preserve">3.1.4 Методы анализа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Граф (дерево) достижимости</w:t>
      </w:r>
      <w:r>
        <w:t xml:space="preserve"> </w:t>
      </w:r>
      <w:r>
        <w:t xml:space="preserve">— все возможные маркировки, достижимые из начальной.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Матричные уравнения</w:t>
      </w:r>
      <w:r>
        <w:t xml:space="preserve"> </w:t>
      </w:r>
      <w:r>
        <w:t xml:space="preserve">— описание поведения сети с помощью матриц инцидентности.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Методы редукции</w:t>
      </w:r>
      <w:r>
        <w:t xml:space="preserve"> </w:t>
      </w:r>
      <w:r>
        <w:t xml:space="preserve">— упрощение сложной сети путём замены подсетей на эквивалентные.</w:t>
      </w:r>
    </w:p>
    <w:bookmarkEnd w:id="14"/>
    <w:bookmarkStart w:id="15" w:name="расширения-сетей-петри"/>
    <w:p>
      <w:pPr>
        <w:pStyle w:val="Heading3"/>
      </w:pPr>
      <w:r>
        <w:t xml:space="preserve">3.1.5 Расширения сетей Петри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Временные сети Петри (Timed Petri Nets)</w:t>
      </w:r>
      <w:r>
        <w:t xml:space="preserve"> </w:t>
      </w:r>
      <w:r>
        <w:t xml:space="preserve">— каждому переходу приписывается время задержки.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Стохастические сети Петри (Stochastic Petri Nets)</w:t>
      </w:r>
      <w:r>
        <w:t xml:space="preserve"> </w:t>
      </w:r>
      <w:r>
        <w:t xml:space="preserve">— времена задержек задаются распределениями случайных величин.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Раскрашенные сети Петри (Colored Petri Nets, CPN)</w:t>
      </w:r>
      <w:r>
        <w:t xml:space="preserve"> </w:t>
      </w:r>
      <w:r>
        <w:t xml:space="preserve">— фишкам приписываются «цвета» (типы данных).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Иерархические сети Петри</w:t>
      </w:r>
      <w:r>
        <w:t xml:space="preserve"> </w:t>
      </w:r>
      <w:r>
        <w:t xml:space="preserve">— возможность вкладывать одну сеть в переход или позицию другой.</w:t>
      </w:r>
    </w:p>
    <w:bookmarkEnd w:id="15"/>
    <w:bookmarkEnd w:id="16"/>
    <w:bookmarkStart w:id="20" w:name="задача-обедающие-философы"/>
    <w:p>
      <w:pPr>
        <w:pStyle w:val="Heading2"/>
      </w:pPr>
      <w:r>
        <w:t xml:space="preserve">3.2 2. Задача «Обедающие философы»</w:t>
      </w:r>
    </w:p>
    <w:p>
      <w:pPr>
        <w:pStyle w:val="FirstParagraph"/>
      </w:pPr>
      <w:r>
        <w:t xml:space="preserve">Задача была сформулирована Эдгером Дейкстрой в 1965 году как иллюстрация проблемы синхронизации в параллельных вычислительных системах. Она наглядно демонстрирует явления</w:t>
      </w:r>
      <w:r>
        <w:t xml:space="preserve"> </w:t>
      </w:r>
      <w:r>
        <w:rPr>
          <w:b/>
          <w:bCs/>
        </w:rPr>
        <w:t xml:space="preserve">взаимной блокировки (deadlock)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голодания (starvation)</w:t>
      </w:r>
      <w:r>
        <w:t xml:space="preserve"> </w:t>
      </w:r>
      <w:r>
        <w:t xml:space="preserve">при конкурентном доступе к разделяемым ресурсам.</w:t>
      </w:r>
    </w:p>
    <w:bookmarkStart w:id="17" w:name="классическая-постановка"/>
    <w:p>
      <w:pPr>
        <w:pStyle w:val="Heading3"/>
      </w:pPr>
      <w:r>
        <w:t xml:space="preserve">3.2.1 Классическая постановка</w:t>
      </w:r>
    </w:p>
    <w:p>
      <w:pPr>
        <w:pStyle w:val="FirstParagraph"/>
      </w:pPr>
      <w:r>
        <w:t xml:space="preserve">За круглым столом сидят (N) философов (обычно 5). Перед каждым философом стоит тарелка с едой. Между каждыми двумя соседними философами лежит одна вилка. Количество вилок равно количеству философов.</w:t>
      </w:r>
    </w:p>
    <w:p>
      <w:pPr>
        <w:pStyle w:val="BodyText"/>
      </w:pPr>
      <w:r>
        <w:rPr>
          <w:b/>
          <w:bCs/>
        </w:rPr>
        <w:t xml:space="preserve">Правила поведения философов:</w:t>
      </w:r>
      <w:r>
        <w:t xml:space="preserve"> </w:t>
      </w:r>
      <w:r>
        <w:t xml:space="preserve">- Философ может находиться в одном из трёх состояний: думает, голоден (хочет есть), ест.</w:t>
      </w:r>
      <w:r>
        <w:t xml:space="preserve"> </w:t>
      </w:r>
      <w:r>
        <w:t xml:space="preserve">- Чтобы поесть, философу необходимы две вилки — левая и правая.</w:t>
      </w:r>
      <w:r>
        <w:t xml:space="preserve"> </w:t>
      </w:r>
      <w:r>
        <w:t xml:space="preserve">- Если философ не может получить обе вилки одновременно, он ждёт.</w:t>
      </w:r>
      <w:r>
        <w:t xml:space="preserve"> </w:t>
      </w:r>
      <w:r>
        <w:t xml:space="preserve">- Поев, философ кладёт обе вилки обратно и возвращается к размышлениям.</w:t>
      </w:r>
    </w:p>
    <w:p>
      <w:pPr>
        <w:pStyle w:val="BodyText"/>
      </w:pPr>
      <w:r>
        <w:rPr>
          <w:b/>
          <w:bCs/>
        </w:rPr>
        <w:t xml:space="preserve">Ограничения:</w:t>
      </w:r>
      <w:r>
        <w:t xml:space="preserve"> </w:t>
      </w:r>
      <w:r>
        <w:t xml:space="preserve">- Вилками нельзя пользоваться одновременно двум философам.</w:t>
      </w:r>
      <w:r>
        <w:t xml:space="preserve"> </w:t>
      </w:r>
      <w:r>
        <w:t xml:space="preserve">- Философ не может отнять вилку у соседа.</w:t>
      </w:r>
    </w:p>
    <w:bookmarkEnd w:id="17"/>
    <w:bookmarkStart w:id="18" w:name="проблема-взаимной-блокировки-deadlock"/>
    <w:p>
      <w:pPr>
        <w:pStyle w:val="Heading3"/>
      </w:pPr>
      <w:r>
        <w:t xml:space="preserve">3.2.2 Проблема взаимной блокировки (deadlock)</w:t>
      </w:r>
    </w:p>
    <w:p>
      <w:pPr>
        <w:pStyle w:val="FirstParagraph"/>
      </w:pPr>
      <w:r>
        <w:t xml:space="preserve">При наивной реализации (каждый философ сначала берёт левую вилку, затем правую) возникает тупик: если все философы одновременно возьмут левую вилку, каждый будет ждать правую, которая уже занята соседом. Система замирает.</w:t>
      </w:r>
    </w:p>
    <w:bookmarkEnd w:id="18"/>
    <w:bookmarkStart w:id="19" w:name="решения-проблемы"/>
    <w:p>
      <w:pPr>
        <w:pStyle w:val="Heading3"/>
      </w:pPr>
      <w:r>
        <w:t xml:space="preserve">3.2.3 Решения проблемы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Арбитр (официант)</w:t>
      </w:r>
      <w:r>
        <w:t xml:space="preserve"> </w:t>
      </w:r>
      <w:r>
        <w:t xml:space="preserve">— дополнительный процесс, разрешающий есть не более чем (N-1) философам одновременно.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Асимметричное правило</w:t>
      </w:r>
      <w:r>
        <w:t xml:space="preserve"> </w:t>
      </w:r>
      <w:r>
        <w:t xml:space="preserve">— философы с нечётным номером сначала берут левую вилку, затем правую; чётные — наоборот.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Атомарный захват</w:t>
      </w:r>
      <w:r>
        <w:t xml:space="preserve"> </w:t>
      </w:r>
      <w:r>
        <w:t xml:space="preserve">— философ берёт обе вилки одновременно (если они свободны), иначе не берёт ни одной.</w:t>
      </w:r>
    </w:p>
    <w:bookmarkEnd w:id="19"/>
    <w:bookmarkEnd w:id="20"/>
    <w:bookmarkStart w:id="22" w:name="моделирование-на-сетях-петри"/>
    <w:p>
      <w:pPr>
        <w:pStyle w:val="Heading2"/>
      </w:pPr>
      <w:r>
        <w:t xml:space="preserve">3.3 3. Моделирование на сетях Петри</w:t>
      </w:r>
    </w:p>
    <w:p>
      <w:pPr>
        <w:pStyle w:val="FirstParagraph"/>
      </w:pPr>
      <w:r>
        <w:t xml:space="preserve">В данной работе каждый философ и каждая вилка представляются позициями, а переходы соответствуют действиям: «взять левую вилку», «взять правую вилку», «начать есть», «положить вилки». Сеть Петри наглядно показывает возникновение deadlock и позволяет экспериментировать с различными механизмами синхронизации.</w:t>
      </w:r>
    </w:p>
    <w:bookmarkStart w:id="21" w:name="стохастическое-моделирование"/>
    <w:p>
      <w:pPr>
        <w:pStyle w:val="Heading3"/>
      </w:pPr>
      <w:r>
        <w:t xml:space="preserve">3.3.1 Стохастическое моделирование</w:t>
      </w:r>
    </w:p>
    <w:p>
      <w:pPr>
        <w:pStyle w:val="FirstParagraph"/>
      </w:pPr>
      <w:r>
        <w:t xml:space="preserve">Для моделирования используется</w:t>
      </w:r>
      <w:r>
        <w:t xml:space="preserve"> </w:t>
      </w:r>
      <w:r>
        <w:rPr>
          <w:b/>
          <w:bCs/>
        </w:rPr>
        <w:t xml:space="preserve">алгоритм Гиллеспи</w:t>
      </w:r>
      <w:r>
        <w:t xml:space="preserve"> </w:t>
      </w:r>
      <w:r>
        <w:t xml:space="preserve">(Gillespie algorithm), который вносит случайность в последовательность срабатывания переходов. При каждом запуске могут получаться разные траектории и разное время наступления deadlock.</w:t>
      </w:r>
    </w:p>
    <w:bookmarkEnd w:id="21"/>
    <w:bookmarkEnd w:id="22"/>
    <w:bookmarkStart w:id="23" w:name="инструменты-реализации-в-julia"/>
    <w:p>
      <w:pPr>
        <w:pStyle w:val="Heading2"/>
      </w:pPr>
      <w:r>
        <w:t xml:space="preserve">3.4 4. Инструменты реализации в Julia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OrdinaryDiffEq.jl</w:t>
      </w:r>
      <w:r>
        <w:t xml:space="preserve"> </w:t>
      </w:r>
      <w:r>
        <w:t xml:space="preserve">— решение систем обыкновенных дифференциальных уравнений (детерминированное моделирование).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Plots.jl</w:t>
      </w:r>
      <w:r>
        <w:t xml:space="preserve"> </w:t>
      </w:r>
      <w:r>
        <w:t xml:space="preserve">— визуализация результатов.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DataFrames.jl / CSV.jl</w:t>
      </w:r>
      <w:r>
        <w:t xml:space="preserve"> </w:t>
      </w:r>
      <w:r>
        <w:t xml:space="preserve">— работа с данными.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DrWatson.jl</w:t>
      </w:r>
      <w:r>
        <w:t xml:space="preserve"> </w:t>
      </w:r>
      <w:r>
        <w:t xml:space="preserve">— организация воспроизводимых научных проектов.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Literate.jl</w:t>
      </w:r>
      <w:r>
        <w:t xml:space="preserve"> </w:t>
      </w:r>
      <w:r>
        <w:t xml:space="preserve">— литературное программирование, генерация Jupyter Notebook и Quarto-документации.</w:t>
      </w:r>
    </w:p>
    <w:bookmarkEnd w:id="23"/>
    <w:bookmarkEnd w:id="24"/>
    <w:bookmarkStart w:id="115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Создаем проект DrWatson для выполнения лабораторной работы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1"/>
          <w:p>
            <w:pPr>
              <w:pStyle w:val="Compact"/>
              <w:jc w:val="center"/>
            </w:pPr>
            <w:r>
              <w:drawing>
                <wp:inline>
                  <wp:extent cx="3733800" cy="155186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001.jp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518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Создание рабочего каталога</w:t>
            </w:r>
          </w:p>
          <w:bookmarkEnd w:id="28"/>
        </w:tc>
      </w:tr>
    </w:tbl>
    <w:p>
      <w:pPr>
        <w:pStyle w:val="BodyText"/>
      </w:pPr>
      <w:r>
        <w:t xml:space="preserve">Запускаем проект и загружаем необходимые пакеты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2"/>
          <w:p>
            <w:pPr>
              <w:pStyle w:val="Compact"/>
              <w:jc w:val="center"/>
            </w:pPr>
            <w:r>
              <w:drawing>
                <wp:inline>
                  <wp:extent cx="3733800" cy="1102637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002.jp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026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Загрузка пакетов</w:t>
            </w:r>
          </w:p>
          <w:bookmarkEnd w:id="32"/>
        </w:tc>
      </w:tr>
    </w:tbl>
    <w:p>
      <w:pPr>
        <w:pStyle w:val="BodyText"/>
      </w:pPr>
      <w:r>
        <w:t xml:space="preserve">Создаем файл src/DiningPhilosophers.jl и записываем туда код модели из методички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03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003.jp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Содержимое файла src/sir_model.jl</w:t>
            </w:r>
          </w:p>
          <w:bookmarkEnd w:id="36"/>
        </w:tc>
      </w:tr>
    </w:tbl>
    <w:p>
      <w:pPr>
        <w:pStyle w:val="BodyText"/>
      </w:pPr>
      <w:r>
        <w:t xml:space="preserve">Создаем файл scripts/dining_philosophers.jl и добавляем туда скрипт из методички для реализации базового эксперимента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4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004.jp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Содержимое файла dining_philosophers.jl</w:t>
            </w:r>
          </w:p>
          <w:bookmarkEnd w:id="40"/>
        </w:tc>
      </w:tr>
    </w:tbl>
    <w:p>
      <w:pPr>
        <w:pStyle w:val="BodyText"/>
      </w:pPr>
      <w:r>
        <w:t xml:space="preserve">Запускаем scripts/dining_philosophers.jl командой</w:t>
      </w:r>
      <w:r>
        <w:t xml:space="preserve"> </w:t>
      </w:r>
      <w:r>
        <w:t xml:space="preserve">“julia –project=. scripts/dining_philosophers.jl”</w:t>
      </w:r>
      <w:r>
        <w:t xml:space="preserve">. Графики сохраняются в папку</w:t>
      </w:r>
      <w:r>
        <w:t xml:space="preserve"> </w:t>
      </w:r>
      <w:r>
        <w:t xml:space="preserve">“plots”</w:t>
      </w:r>
      <w:r>
        <w:t xml:space="preserve"> </w:t>
      </w:r>
      <w:r>
        <w:t xml:space="preserve">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005"/>
          <w:p>
            <w:pPr>
              <w:pStyle w:val="Compact"/>
              <w:jc w:val="center"/>
            </w:pPr>
            <w:r>
              <w:drawing>
                <wp:inline>
                  <wp:extent cx="3733800" cy="280035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005.jp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00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Запуск dining_philosophers.jl</w:t>
            </w:r>
          </w:p>
          <w:bookmarkEnd w:id="44"/>
        </w:tc>
      </w:tr>
    </w:tbl>
    <w:p>
      <w:pPr>
        <w:pStyle w:val="BodyText"/>
      </w:pPr>
      <w:r>
        <w:t xml:space="preserve">Просмотрим результаты в папке</w:t>
      </w:r>
      <w:r>
        <w:t xml:space="preserve"> </w:t>
      </w:r>
      <w:r>
        <w:t xml:space="preserve">“Plots”</w:t>
      </w:r>
      <w:r>
        <w:t xml:space="preserve">. Графики эволюции маркировки позволяют визуально увидеть, как меняются состояния.</w:t>
      </w:r>
    </w:p>
    <w:p>
      <w:pPr>
        <w:pStyle w:val="BodyText"/>
      </w:pPr>
      <w:r>
        <w:t xml:space="preserve">— В классической сети рано или поздно все Eat_i становятся нулевыми, а</w:t>
      </w:r>
      <w:r>
        <w:t xml:space="preserve"> </w:t>
      </w:r>
      <w:r>
        <w:t xml:space="preserve">Hungry_i – единичными (или наоборот).</w:t>
      </w:r>
    </w:p>
    <w:p>
      <w:pPr>
        <w:pStyle w:val="BodyText"/>
      </w:pPr>
      <w:r>
        <w:t xml:space="preserve">— В сети с арбитром наблюдается постоянное чередование приёма пищи.</w:t>
      </w:r>
    </w:p>
    <w:p>
      <w:pPr>
        <w:pStyle w:val="BodyText"/>
      </w:pPr>
      <w:r>
        <w:t xml:space="preserve">arbiter_simulation.png(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006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image/006.jp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arbiter_simulation.png</w:t>
            </w:r>
          </w:p>
          <w:bookmarkEnd w:id="48"/>
        </w:tc>
      </w:tr>
    </w:tbl>
    <w:p>
      <w:pPr>
        <w:pStyle w:val="BodyText"/>
      </w:pPr>
      <w:r>
        <w:t xml:space="preserve">classic_simulation.png(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007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mage/007.jp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classic_simulation.png</w:t>
            </w:r>
          </w:p>
          <w:bookmarkEnd w:id="52"/>
        </w:tc>
      </w:tr>
    </w:tbl>
    <w:p>
      <w:pPr>
        <w:pStyle w:val="BodyText"/>
      </w:pPr>
      <w:r>
        <w:t xml:space="preserve">Создаем файл tangle.jl для генерации производных форматов и добавляем туда скрипт из методички 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008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image/008.jp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tangle.jl</w:t>
            </w:r>
          </w:p>
          <w:bookmarkEnd w:id="56"/>
        </w:tc>
      </w:tr>
    </w:tbl>
    <w:p>
      <w:pPr>
        <w:pStyle w:val="BodyText"/>
      </w:pPr>
      <w:r>
        <w:t xml:space="preserve">Создаем файл dining_philosophers_literate.jl для литературной версии кода 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009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image/009.jp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Содержимое файла dining_philosophers_literate.jl</w:t>
            </w:r>
          </w:p>
          <w:bookmarkEnd w:id="60"/>
        </w:tc>
      </w:tr>
    </w:tbl>
    <w:p>
      <w:pPr>
        <w:pStyle w:val="BodyText"/>
      </w:pPr>
      <w:r>
        <w:t xml:space="preserve">Генерируем чистый код, jupyter notebook и документацию в формате Quarto с помощью tangle.jl (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010"/>
          <w:p>
            <w:pPr>
              <w:pStyle w:val="Compact"/>
              <w:jc w:val="center"/>
            </w:pPr>
            <w:r>
              <w:drawing>
                <wp:inline>
                  <wp:extent cx="3733800" cy="96262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mage/010.jp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626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Генерация производных форматов</w:t>
            </w:r>
          </w:p>
          <w:bookmarkEnd w:id="64"/>
        </w:tc>
      </w:tr>
    </w:tbl>
    <w:p>
      <w:pPr>
        <w:pStyle w:val="BodyText"/>
      </w:pPr>
      <w:r>
        <w:t xml:space="preserve">Открываем jupyter notebook и проверяем что все коды успешно запускаются (</w:t>
      </w:r>
      <w:hyperlink w:anchor="fig-011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011"/>
          <w:p>
            <w:pPr>
              <w:pStyle w:val="Compact"/>
              <w:jc w:val="center"/>
            </w:pPr>
            <w:r>
              <w:drawing>
                <wp:inline>
                  <wp:extent cx="3733800" cy="2129432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image/011.jp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294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Проверка в jupyter notebook</w:t>
            </w:r>
          </w:p>
          <w:bookmarkEnd w:id="68"/>
        </w:tc>
      </w:tr>
    </w:tbl>
    <w:p>
      <w:pPr>
        <w:pStyle w:val="BodyText"/>
      </w:pPr>
      <w:r>
        <w:t xml:space="preserve">Создаем файл scripts/dining_philosophers_animation.jl для реализации анимации процесса и добавляем туда скрипт из методички (</w:t>
      </w:r>
      <w:hyperlink w:anchor="fig-012">
        <w:r>
          <w:rPr>
            <w:rStyle w:val="Hyperlink"/>
          </w:rPr>
          <w:t xml:space="preserve">рис.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2" w:name="fig-012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image/012.jp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Содержимое dining_philosophers_animation.jl</w:t>
            </w:r>
          </w:p>
          <w:bookmarkEnd w:id="72"/>
        </w:tc>
      </w:tr>
    </w:tbl>
    <w:p>
      <w:pPr>
        <w:pStyle w:val="BodyText"/>
      </w:pPr>
      <w:r>
        <w:t xml:space="preserve">Запускаем scripts/dining_philosophers_animation.jl командой</w:t>
      </w:r>
      <w:r>
        <w:t xml:space="preserve"> </w:t>
      </w:r>
      <w:r>
        <w:t xml:space="preserve">“julia –project=. scripts/dining_philosophers_animation.jl”</w:t>
      </w:r>
      <w:r>
        <w:t xml:space="preserve">. Анимация сохраняется в папку</w:t>
      </w:r>
      <w:r>
        <w:t xml:space="preserve"> </w:t>
      </w:r>
      <w:r>
        <w:t xml:space="preserve">“plots”</w:t>
      </w:r>
      <w:r>
        <w:t xml:space="preserve"> </w:t>
      </w:r>
      <w:r>
        <w:t xml:space="preserve">и показывает изменение маркировки во времени (</w:t>
      </w:r>
      <w:hyperlink w:anchor="fig-013">
        <w:r>
          <w:rPr>
            <w:rStyle w:val="Hyperlink"/>
          </w:rPr>
          <w:t xml:space="preserve">рис.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013"/>
          <w:p>
            <w:pPr>
              <w:pStyle w:val="Compact"/>
              <w:jc w:val="center"/>
            </w:pPr>
            <w:r>
              <w:drawing>
                <wp:inline>
                  <wp:extent cx="3733800" cy="1371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image/013.jp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71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Запуск dining_philosophers_animation.jl</w:t>
            </w:r>
          </w:p>
          <w:bookmarkEnd w:id="76"/>
        </w:tc>
      </w:tr>
    </w:tbl>
    <w:p>
      <w:pPr>
        <w:pStyle w:val="BodyText"/>
      </w:pPr>
      <w:r>
        <w:t xml:space="preserve">Просмотр анимации:</w:t>
      </w:r>
    </w:p>
    <w:p>
      <w:pPr>
        <w:pStyle w:val="BodyText"/>
      </w:pPr>
      <w:r>
        <w:t xml:space="preserve">Rutube:</w:t>
      </w:r>
      <w:r>
        <w:t xml:space="preserve"> </w:t>
      </w:r>
      <w:hyperlink r:id="rId77">
        <w:r>
          <w:rPr>
            <w:rStyle w:val="Hyperlink"/>
          </w:rPr>
          <w:t xml:space="preserve">https://vk.com/away.php?to=https%3A%2F%2Frutube.ru%2Fvideo%2Fprivate%2F4c763cc6e6612197d33576416fa2b72f%2F%3Fp%3Dw0hJkIwGbDtjQNnELdofiQ&amp;utf=1</w:t>
        </w:r>
      </w:hyperlink>
    </w:p>
    <w:p>
      <w:pPr>
        <w:pStyle w:val="BodyText"/>
      </w:pPr>
      <w:r>
        <w:t xml:space="preserve">VK Видео:</w:t>
      </w:r>
      <w:r>
        <w:t xml:space="preserve"> </w:t>
      </w:r>
      <w:hyperlink r:id="rId78">
        <w:r>
          <w:rPr>
            <w:rStyle w:val="Hyperlink"/>
          </w:rPr>
          <w:t xml:space="preserve">https://vk.com/away.php?to=https%3A%2F%2Fm.vkvideo.ru%2Fvideo297578553_456239527%3Flist%3Dln-rTqST3uSLsrG1qrZq0%26pl%3D297578553_4&amp;utf=1</w:t>
        </w:r>
      </w:hyperlink>
    </w:p>
    <w:p>
      <w:pPr>
        <w:pStyle w:val="BodyText"/>
      </w:pPr>
      <w:r>
        <w:t xml:space="preserve">Создаем файл dining_philosophers_animation_literate.jl для литературной версии кода (</w:t>
      </w:r>
      <w:hyperlink w:anchor="fig-014">
        <w:r>
          <w:rPr>
            <w:rStyle w:val="Hyperlink"/>
          </w:rPr>
          <w:t xml:space="preserve">рис.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014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image/014.jp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Содержимое файла dining_philosophers_animation_literate.jl</w:t>
            </w:r>
          </w:p>
          <w:bookmarkEnd w:id="82"/>
        </w:tc>
      </w:tr>
    </w:tbl>
    <w:p>
      <w:pPr>
        <w:pStyle w:val="BodyText"/>
      </w:pPr>
      <w:r>
        <w:t xml:space="preserve">Генерируем чистый код, jupyter notebook и документацию в формате Quarto с помощью tangle.jl (</w:t>
      </w:r>
      <w:hyperlink w:anchor="fig-015">
        <w:r>
          <w:rPr>
            <w:rStyle w:val="Hyperlink"/>
          </w:rPr>
          <w:t xml:space="preserve">рис. 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015"/>
          <w:p>
            <w:pPr>
              <w:pStyle w:val="Compact"/>
              <w:jc w:val="center"/>
            </w:pPr>
            <w:r>
              <w:drawing>
                <wp:inline>
                  <wp:extent cx="3733800" cy="92178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image/015.jp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2178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Генерация производных форматов</w:t>
            </w:r>
          </w:p>
          <w:bookmarkEnd w:id="86"/>
        </w:tc>
      </w:tr>
    </w:tbl>
    <w:p>
      <w:pPr>
        <w:pStyle w:val="BodyText"/>
      </w:pPr>
      <w:r>
        <w:t xml:space="preserve">Открываем jupyter notebook и проверяем что все коды успешно запускаются (</w:t>
      </w:r>
      <w:hyperlink w:anchor="fig-016">
        <w:r>
          <w:rPr>
            <w:rStyle w:val="Hyperlink"/>
          </w:rPr>
          <w:t xml:space="preserve">рис. 16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016"/>
          <w:p>
            <w:pPr>
              <w:pStyle w:val="Compact"/>
              <w:jc w:val="center"/>
            </w:pPr>
            <w:r>
              <w:drawing>
                <wp:inline>
                  <wp:extent cx="3733800" cy="2076926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image/016.jp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7692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Проверка в jupyter notebook</w:t>
            </w:r>
          </w:p>
          <w:bookmarkEnd w:id="90"/>
        </w:tc>
      </w:tr>
    </w:tbl>
    <w:p>
      <w:pPr>
        <w:pStyle w:val="BodyText"/>
      </w:pPr>
      <w:r>
        <w:t xml:space="preserve">Создаем файл scripts/dining_philosophers_report.jl для итогового отчета и добавляем туда скрипт из методички (</w:t>
      </w:r>
      <w:hyperlink w:anchor="fig-017">
        <w:r>
          <w:rPr>
            <w:rStyle w:val="Hyperlink"/>
          </w:rPr>
          <w:t xml:space="preserve">рис. 17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017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image/017.jp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Содержимое dining_philosophers_report.jl</w:t>
            </w:r>
          </w:p>
          <w:bookmarkEnd w:id="94"/>
        </w:tc>
      </w:tr>
    </w:tbl>
    <w:p>
      <w:pPr>
        <w:pStyle w:val="BodyText"/>
      </w:pPr>
      <w:r>
        <w:t xml:space="preserve">Запускаем scripts/dining_philosophers_report.jl командой</w:t>
      </w:r>
      <w:r>
        <w:t xml:space="preserve"> </w:t>
      </w:r>
      <w:r>
        <w:t xml:space="preserve">“julia –project=. scripts/dining_philosophers_report.jl”</w:t>
      </w:r>
      <w:r>
        <w:t xml:space="preserve">. График сохраняется в папку</w:t>
      </w:r>
      <w:r>
        <w:t xml:space="preserve"> </w:t>
      </w:r>
      <w:r>
        <w:t xml:space="preserve">“plots”</w:t>
      </w:r>
      <w:r>
        <w:t xml:space="preserve"> </w:t>
      </w:r>
      <w:r>
        <w:t xml:space="preserve">(</w:t>
      </w:r>
      <w:hyperlink w:anchor="fig-018">
        <w:r>
          <w:rPr>
            <w:rStyle w:val="Hyperlink"/>
          </w:rPr>
          <w:t xml:space="preserve">рис. 18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8" w:name="fig-018"/>
          <w:p>
            <w:pPr>
              <w:pStyle w:val="Compact"/>
              <w:jc w:val="center"/>
            </w:pPr>
            <w:r>
              <w:drawing>
                <wp:inline>
                  <wp:extent cx="3733800" cy="142934"/>
                  <wp:effectExtent b="0" l="0" r="0" t="0"/>
                  <wp:docPr descr="" title="" id="96" name="Picture"/>
                  <a:graphic>
                    <a:graphicData uri="http://schemas.openxmlformats.org/drawingml/2006/picture">
                      <pic:pic>
                        <pic:nvPicPr>
                          <pic:cNvPr descr="image/018.jpg" id="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29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Запуск dining_philosophers_report.jl</w:t>
            </w:r>
          </w:p>
          <w:bookmarkEnd w:id="98"/>
        </w:tc>
      </w:tr>
    </w:tbl>
    <w:p>
      <w:pPr>
        <w:pStyle w:val="BodyText"/>
      </w:pPr>
      <w:r>
        <w:t xml:space="preserve">Просмотр результатов. График показывает сравнительный анализ двух моделей (с арбитром и без) (</w:t>
      </w:r>
      <w:hyperlink w:anchor="fig-019">
        <w:r>
          <w:rPr>
            <w:rStyle w:val="Hyperlink"/>
          </w:rPr>
          <w:t xml:space="preserve">рис.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2" w:name="fig-019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image/019.jp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19: final_report.png</w:t>
            </w:r>
          </w:p>
          <w:bookmarkEnd w:id="102"/>
        </w:tc>
      </w:tr>
    </w:tbl>
    <w:p>
      <w:pPr>
        <w:pStyle w:val="BodyText"/>
      </w:pPr>
      <w:r>
        <w:t xml:space="preserve">Создаем файл dining_philosophers_report_literate.jl для литературной версии кода (</w:t>
      </w:r>
      <w:hyperlink w:anchor="fig-020">
        <w:r>
          <w:rPr>
            <w:rStyle w:val="Hyperlink"/>
          </w:rPr>
          <w:t xml:space="preserve">рис. 20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6" w:name="fig-020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image/020.jp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20: Содержимое файла dining_philosophers_report_literate.jl</w:t>
            </w:r>
          </w:p>
          <w:bookmarkEnd w:id="106"/>
        </w:tc>
      </w:tr>
    </w:tbl>
    <w:p>
      <w:pPr>
        <w:pStyle w:val="BodyText"/>
      </w:pPr>
      <w:r>
        <w:t xml:space="preserve">Генерируем чистый код, jupyter notebook и документацию в формате Quarto с помощью tangle.jl (</w:t>
      </w:r>
      <w:hyperlink w:anchor="fig-021">
        <w:r>
          <w:rPr>
            <w:rStyle w:val="Hyperlink"/>
          </w:rPr>
          <w:t xml:space="preserve">рис. 21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021"/>
          <w:p>
            <w:pPr>
              <w:pStyle w:val="Compact"/>
              <w:jc w:val="center"/>
            </w:pPr>
            <w:r>
              <w:drawing>
                <wp:inline>
                  <wp:extent cx="3733800" cy="915947"/>
                  <wp:effectExtent b="0" l="0" r="0" t="0"/>
                  <wp:docPr descr="" title="" id="108" name="Picture"/>
                  <a:graphic>
                    <a:graphicData uri="http://schemas.openxmlformats.org/drawingml/2006/picture">
                      <pic:pic>
                        <pic:nvPicPr>
                          <pic:cNvPr descr="image/021.jpg" id="1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1594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21: Генерация производных форматов</w:t>
            </w:r>
          </w:p>
          <w:bookmarkEnd w:id="110"/>
        </w:tc>
      </w:tr>
    </w:tbl>
    <w:p>
      <w:pPr>
        <w:pStyle w:val="BodyText"/>
      </w:pPr>
      <w:r>
        <w:t xml:space="preserve">Открываем jupyter notebook и проверяем что все коды успешно запускаются (</w:t>
      </w:r>
      <w:hyperlink w:anchor="fig-022">
        <w:r>
          <w:rPr>
            <w:rStyle w:val="Hyperlink"/>
          </w:rPr>
          <w:t xml:space="preserve">рис. 22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4" w:name="fig-022"/>
          <w:p>
            <w:pPr>
              <w:pStyle w:val="Compact"/>
              <w:jc w:val="center"/>
            </w:pPr>
            <w:r>
              <w:drawing>
                <wp:inline>
                  <wp:extent cx="3733800" cy="2129432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image/022.jp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294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22: Проверка в jupyter notebook</w:t>
            </w:r>
          </w:p>
          <w:bookmarkEnd w:id="114"/>
        </w:tc>
      </w:tr>
    </w:tbl>
    <w:bookmarkEnd w:id="115"/>
    <w:bookmarkStart w:id="117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ходе выполнения лабораторной работы реализована и исследована модель задачи «Обедающие философы» с использованием аппарата сетей Петри.</w:t>
      </w:r>
    </w:p>
    <w:bookmarkStart w:id="116" w:name="основные-результаты"/>
    <w:p>
      <w:pPr>
        <w:pStyle w:val="Heading2"/>
      </w:pPr>
      <w:r>
        <w:t xml:space="preserve">5.1 Основные результаты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Построены сети Петри</w:t>
      </w:r>
      <w:r>
        <w:t xml:space="preserve"> </w:t>
      </w:r>
      <w:r>
        <w:t xml:space="preserve">для классической постановки задачи (5 философов) и модифицированной версии с арбитром.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Проведено стохастическое имитационное моделирование</w:t>
      </w:r>
      <w:r>
        <w:t xml:space="preserve"> </w:t>
      </w:r>
      <w:r>
        <w:t xml:space="preserve">с использованием алгоритма Гиллеспи. Для классической сети подтверждено возникновение взаимной блокировки (deadlock) — все философы оказываются в состоянии «голоден», ни один не может есть.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Продемонстрирована эффективность арбитра</w:t>
      </w:r>
      <w:r>
        <w:t xml:space="preserve"> </w:t>
      </w:r>
      <w:r>
        <w:t xml:space="preserve">— дополнительная позиция с (N-1) фишками предотвращает deadlock. В сети с арбитром всегда есть хотя бы один философ, который ест, система остаётся живой.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Построены графики эволюции маркировки</w:t>
      </w:r>
      <w:r>
        <w:t xml:space="preserve"> </w:t>
      </w:r>
      <w:r>
        <w:t xml:space="preserve">для визуального анализа динамики состояний философов (Think, Hungry, Eat) и вилок (Fork). Классическая сеть показывает затухание активности, сеть с арбитром — непрерывное чередование приёма пищи.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Создана анимация</w:t>
      </w:r>
      <w:r>
        <w:t xml:space="preserve"> </w:t>
      </w:r>
      <w:r>
        <w:t xml:space="preserve">процесса, наглядно демонстрирующая перемещение фишек и наступление deadlock в классической модели.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Выполнено литературное программирование</w:t>
      </w:r>
      <w:r>
        <w:t xml:space="preserve"> </w:t>
      </w:r>
      <w:r>
        <w:t xml:space="preserve">— исходные скрипты преобразованы в литературный стиль с использованием Literate.jl. Сгенерированы:</w:t>
      </w:r>
    </w:p>
    <w:p>
      <w:pPr>
        <w:pStyle w:val="Compact"/>
        <w:numPr>
          <w:ilvl w:val="1"/>
          <w:numId w:val="1010"/>
        </w:numPr>
      </w:pPr>
      <w:r>
        <w:t xml:space="preserve">чистый код (scripts/);</w:t>
      </w:r>
    </w:p>
    <w:p>
      <w:pPr>
        <w:pStyle w:val="Compact"/>
        <w:numPr>
          <w:ilvl w:val="1"/>
          <w:numId w:val="1010"/>
        </w:numPr>
      </w:pPr>
      <w:r>
        <w:t xml:space="preserve">Jupyter Notebook (notebooks/);</w:t>
      </w:r>
    </w:p>
    <w:p>
      <w:pPr>
        <w:pStyle w:val="Compact"/>
        <w:numPr>
          <w:ilvl w:val="1"/>
          <w:numId w:val="1010"/>
        </w:numPr>
      </w:pPr>
      <w:r>
        <w:t xml:space="preserve">документация в формате Quarto (docs/).</w:t>
      </w:r>
    </w:p>
    <w:bookmarkEnd w:id="116"/>
    <w:bookmarkEnd w:id="117"/>
    <w:bookmarkStart w:id="118" w:name="список-литературы"/>
    <w:p>
      <w:pPr>
        <w:pStyle w:val="Heading1"/>
      </w:pPr>
      <w:r>
        <w:t xml:space="preserve">6. Список литературы</w:t>
      </w:r>
    </w:p>
    <w:p>
      <w:pPr>
        <w:numPr>
          <w:ilvl w:val="0"/>
          <w:numId w:val="1011"/>
        </w:numPr>
      </w:pPr>
      <w:r>
        <w:t xml:space="preserve">Petri, C. A. (1962).</w:t>
      </w:r>
      <w:r>
        <w:t xml:space="preserve"> </w:t>
      </w:r>
      <w:r>
        <w:rPr>
          <w:i/>
          <w:iCs/>
        </w:rPr>
        <w:t xml:space="preserve">Kommunikation mit Automaten</w:t>
      </w:r>
      <w:r>
        <w:t xml:space="preserve">. Dissertation, Universität Bonn.</w:t>
      </w:r>
    </w:p>
    <w:p>
      <w:pPr>
        <w:numPr>
          <w:ilvl w:val="0"/>
          <w:numId w:val="1011"/>
        </w:numPr>
      </w:pPr>
      <w:r>
        <w:t xml:space="preserve">Dijkstra, E. W. (1965).</w:t>
      </w:r>
      <w:r>
        <w:t xml:space="preserve"> </w:t>
      </w:r>
      <w:r>
        <w:rPr>
          <w:i/>
          <w:iCs/>
        </w:rPr>
        <w:t xml:space="preserve">Cooperating sequential processes</w:t>
      </w:r>
      <w:r>
        <w:t xml:space="preserve">. Technological University Eindhoven.</w:t>
      </w:r>
    </w:p>
    <w:p>
      <w:pPr>
        <w:numPr>
          <w:ilvl w:val="0"/>
          <w:numId w:val="1011"/>
        </w:numPr>
      </w:pPr>
      <w:r>
        <w:t xml:space="preserve">Murata, T. (1989). Petri nets: Properties, analysis and applications.</w:t>
      </w:r>
      <w:r>
        <w:t xml:space="preserve"> </w:t>
      </w:r>
      <w:r>
        <w:rPr>
          <w:i/>
          <w:iCs/>
        </w:rPr>
        <w:t xml:space="preserve">Proceedings of the IEEE</w:t>
      </w:r>
      <w:r>
        <w:t xml:space="preserve">, 77(4), 541-580.</w:t>
      </w:r>
    </w:p>
    <w:p>
      <w:pPr>
        <w:numPr>
          <w:ilvl w:val="0"/>
          <w:numId w:val="1011"/>
        </w:numPr>
      </w:pPr>
      <w:r>
        <w:t xml:space="preserve">Дейкстра, Э. (1978).</w:t>
      </w:r>
      <w:r>
        <w:t xml:space="preserve"> </w:t>
      </w:r>
      <w:r>
        <w:rPr>
          <w:i/>
          <w:iCs/>
        </w:rPr>
        <w:t xml:space="preserve">Взаимодействие последовательных процессов</w:t>
      </w:r>
      <w:r>
        <w:t xml:space="preserve">. Москва: Мир.</w:t>
      </w:r>
    </w:p>
    <w:p>
      <w:pPr>
        <w:numPr>
          <w:ilvl w:val="0"/>
          <w:numId w:val="1011"/>
        </w:numPr>
      </w:pPr>
      <w:r>
        <w:t xml:space="preserve">Ковальчук, А. В., &amp; Кульбов, Д. С. (2026).</w:t>
      </w:r>
      <w:r>
        <w:t xml:space="preserve"> </w:t>
      </w:r>
      <w:r>
        <w:rPr>
          <w:i/>
          <w:iCs/>
        </w:rPr>
        <w:t xml:space="preserve">Имитационное моделирование. Практикум</w:t>
      </w:r>
      <w:r>
        <w:t xml:space="preserve">.</w:t>
      </w:r>
    </w:p>
    <w:p>
      <w:pPr>
        <w:numPr>
          <w:ilvl w:val="0"/>
          <w:numId w:val="1011"/>
        </w:numPr>
      </w:pPr>
      <w:r>
        <w:t xml:space="preserve">Gillespie, D. T. (1977). Exact stochastic simulation of coupled chemical reactions.</w:t>
      </w:r>
      <w:r>
        <w:t xml:space="preserve"> </w:t>
      </w:r>
      <w:r>
        <w:rPr>
          <w:i/>
          <w:iCs/>
        </w:rPr>
        <w:t xml:space="preserve">The Journal of Physical Chemistry</w:t>
      </w:r>
      <w:r>
        <w:t xml:space="preserve">, 81(25), 2340-2361.</w:t>
      </w:r>
    </w:p>
    <w:p>
      <w:pPr>
        <w:numPr>
          <w:ilvl w:val="0"/>
          <w:numId w:val="1011"/>
        </w:numPr>
      </w:pPr>
      <w:r>
        <w:t xml:space="preserve">Rackauckas, C., &amp; Nie, Q. (2017). DifferentialEquations.jl – A Performant and Feature-Rich Ecosystem for Solving Differential Equations in Julia.</w:t>
      </w:r>
      <w:r>
        <w:t xml:space="preserve"> </w:t>
      </w:r>
      <w:r>
        <w:rPr>
          <w:i/>
          <w:iCs/>
        </w:rPr>
        <w:t xml:space="preserve">Journal of Open Research Software</w:t>
      </w:r>
      <w:r>
        <w:t xml:space="preserve">, 5(1), 15.</w:t>
      </w:r>
    </w:p>
    <w:p>
      <w:pPr>
        <w:numPr>
          <w:ilvl w:val="0"/>
          <w:numId w:val="1011"/>
        </w:numPr>
      </w:pPr>
      <w:r>
        <w:t xml:space="preserve">Datseris, G., &amp; Zinner, N. (2022). DrWatson.jl: A Julia framework for reproducible scientific projects.</w:t>
      </w:r>
      <w:r>
        <w:t xml:space="preserve"> </w:t>
      </w:r>
      <w:r>
        <w:rPr>
          <w:i/>
          <w:iCs/>
        </w:rPr>
        <w:t xml:space="preserve">Journal of Open Source Software</w:t>
      </w:r>
      <w:r>
        <w:t xml:space="preserve">, 7(72), 4158.</w:t>
      </w:r>
    </w:p>
    <w:p>
      <w:pPr>
        <w:numPr>
          <w:ilvl w:val="0"/>
          <w:numId w:val="1011"/>
        </w:numPr>
      </w:pPr>
      <w:r>
        <w:t xml:space="preserve">Literate.jl Documentation — https://github.com/fredrikekre/Literate.jl</w:t>
      </w:r>
    </w:p>
    <w:p>
      <w:pPr>
        <w:numPr>
          <w:ilvl w:val="0"/>
          <w:numId w:val="1011"/>
        </w:numPr>
      </w:pPr>
      <w:r>
        <w:t xml:space="preserve">Plots.jl Documentation — https://docs.juliaplots.org/stable/</w:t>
      </w:r>
    </w:p>
    <w:bookmarkEnd w:id="1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5" Target="media/rId25.jpg" /><Relationship Type="http://schemas.openxmlformats.org/officeDocument/2006/relationships/image" Id="rId29" Target="media/rId29.jpg" /><Relationship Type="http://schemas.openxmlformats.org/officeDocument/2006/relationships/image" Id="rId33" Target="media/rId33.jpg" /><Relationship Type="http://schemas.openxmlformats.org/officeDocument/2006/relationships/image" Id="rId37" Target="media/rId37.jpg" /><Relationship Type="http://schemas.openxmlformats.org/officeDocument/2006/relationships/image" Id="rId41" Target="media/rId41.jpg" /><Relationship Type="http://schemas.openxmlformats.org/officeDocument/2006/relationships/image" Id="rId45" Target="media/rId45.jpg" /><Relationship Type="http://schemas.openxmlformats.org/officeDocument/2006/relationships/image" Id="rId49" Target="media/rId49.jpg" /><Relationship Type="http://schemas.openxmlformats.org/officeDocument/2006/relationships/image" Id="rId53" Target="media/rId53.jpg" /><Relationship Type="http://schemas.openxmlformats.org/officeDocument/2006/relationships/image" Id="rId57" Target="media/rId57.jpg" /><Relationship Type="http://schemas.openxmlformats.org/officeDocument/2006/relationships/image" Id="rId61" Target="media/rId61.jpg" /><Relationship Type="http://schemas.openxmlformats.org/officeDocument/2006/relationships/image" Id="rId65" Target="media/rId65.jpg" /><Relationship Type="http://schemas.openxmlformats.org/officeDocument/2006/relationships/image" Id="rId69" Target="media/rId69.jpg" /><Relationship Type="http://schemas.openxmlformats.org/officeDocument/2006/relationships/image" Id="rId73" Target="media/rId73.jpg" /><Relationship Type="http://schemas.openxmlformats.org/officeDocument/2006/relationships/image" Id="rId79" Target="media/rId79.jpg" /><Relationship Type="http://schemas.openxmlformats.org/officeDocument/2006/relationships/image" Id="rId83" Target="media/rId83.jpg" /><Relationship Type="http://schemas.openxmlformats.org/officeDocument/2006/relationships/image" Id="rId87" Target="media/rId87.jpg" /><Relationship Type="http://schemas.openxmlformats.org/officeDocument/2006/relationships/image" Id="rId91" Target="media/rId91.jpg" /><Relationship Type="http://schemas.openxmlformats.org/officeDocument/2006/relationships/image" Id="rId95" Target="media/rId95.jpg" /><Relationship Type="http://schemas.openxmlformats.org/officeDocument/2006/relationships/image" Id="rId99" Target="media/rId99.jpg" /><Relationship Type="http://schemas.openxmlformats.org/officeDocument/2006/relationships/image" Id="rId103" Target="media/rId103.jpg" /><Relationship Type="http://schemas.openxmlformats.org/officeDocument/2006/relationships/image" Id="rId107" Target="media/rId107.jpg" /><Relationship Type="http://schemas.openxmlformats.org/officeDocument/2006/relationships/image" Id="rId111" Target="media/rId111.jpg" /><Relationship Type="http://schemas.openxmlformats.org/officeDocument/2006/relationships/hyperlink" Id="rId78" Target="https://vk.com/away.php?to=https%3A%2F%2Fm.vkvideo.ru%2Fvideo297578553_456239527%3Flist%3Dln-rTqST3uSLsrG1qrZq0%26pl%3D297578553_4&amp;utf=1" TargetMode="External" /><Relationship Type="http://schemas.openxmlformats.org/officeDocument/2006/relationships/hyperlink" Id="rId77" Target="https://vk.com/away.php?to=https%3A%2F%2Frutube.ru%2Fvideo%2Fprivate%2F4c763cc6e6612197d33576416fa2b72f%2F%3Fp%3Dw0hJkIwGbDtjQNnELdofiQ&amp;utf=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8" Target="https://vk.com/away.php?to=https%3A%2F%2Fm.vkvideo.ru%2Fvideo297578553_456239527%3Flist%3Dln-rTqST3uSLsrG1qrZq0%26pl%3D297578553_4&amp;utf=1" TargetMode="External" /><Relationship Type="http://schemas.openxmlformats.org/officeDocument/2006/relationships/hyperlink" Id="rId77" Target="https://vk.com/away.php?to=https%3A%2F%2Frutube.ru%2Fvideo%2Fprivate%2F4c763cc6e6612197d33576416fa2b72f%2F%3Fp%3Dw0hJkIwGbDtjQNnELdofiQ&amp;utf=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№5</dc:title>
  <dc:creator>Соколова Александра Олеговна</dc:creator>
  <dc:language>ru-RU</dc:language>
  <cp:keywords/>
  <dcterms:created xsi:type="dcterms:W3CDTF">2026-04-18T19:06:10Z</dcterms:created>
  <dcterms:modified xsi:type="dcterms:W3CDTF">2026-04-18T19:06:10Z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engine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Имитационное моделированией</vt:lpwstr>
  </property>
  <property fmtid="{D5CDD505-2E9C-101B-9397-08002B2CF9AE}" pid="17" name="toc-title">
    <vt:lpwstr>Содержание</vt:lpwstr>
  </property>
</Properties>
</file>