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Diagnostic du Sol Vivant</w:t>
      </w:r>
    </w:p>
    <w:p>
      <w:pPr>
        <w:pStyle w:val="Heading1"/>
      </w:pPr>
      <w:r>
        <w:t>Termes canoniques (73)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Acyl-homosérine lactone</w:t>
            </w:r>
          </w:p>
        </w:tc>
        <w:tc>
          <w:tcPr>
            <w:tcW w:type="dxa" w:w="2880"/>
          </w:tcPr>
          <w:p>
            <w:r>
              <w:t>Acyl-homoserine lactone (AHL)</w:t>
            </w:r>
          </w:p>
        </w:tc>
        <w:tc>
          <w:tcPr>
            <w:tcW w:type="dxa" w:w="2880"/>
          </w:tcPr>
          <w:p>
            <w:r/>
          </w:p>
        </w:tc>
      </w:tr>
      <w:tr>
        <w:tc>
          <w:tcPr>
            <w:tcW w:type="dxa" w:w="2880"/>
          </w:tcPr>
          <w:p>
            <w:r>
              <w:t>Biofilm rhizosphérique</w:t>
            </w:r>
          </w:p>
        </w:tc>
        <w:tc>
          <w:tcPr>
            <w:tcW w:type="dxa" w:w="2880"/>
          </w:tcPr>
          <w:p>
            <w:r>
              <w:t>Rhizosphere biofilm</w:t>
            </w:r>
          </w:p>
        </w:tc>
        <w:tc>
          <w:tcPr>
            <w:tcW w:type="dxa" w:w="2880"/>
          </w:tcPr>
          <w:p>
            <w:r/>
          </w:p>
        </w:tc>
      </w:tr>
      <w:tr>
        <w:tc>
          <w:tcPr>
            <w:tcW w:type="dxa" w:w="2880"/>
          </w:tcPr>
          <w:p>
            <w:r>
              <w:t>Brix fourrager</w:t>
            </w:r>
          </w:p>
        </w:tc>
        <w:tc>
          <w:tcPr>
            <w:tcW w:type="dxa" w:w="2880"/>
          </w:tcPr>
          <w:p>
            <w:r>
              <w:t>forage Brix</w:t>
            </w:r>
          </w:p>
        </w:tc>
        <w:tc>
          <w:tcPr>
            <w:tcW w:type="dxa" w:w="2880"/>
          </w:tcPr>
          <w:p>
            <w:r/>
          </w:p>
        </w:tc>
      </w:tr>
      <w:tr>
        <w:tc>
          <w:tcPr>
            <w:tcW w:type="dxa" w:w="2880"/>
          </w:tcPr>
          <w:p>
            <w:r>
              <w:t>CEC effective</w:t>
            </w:r>
          </w:p>
        </w:tc>
        <w:tc>
          <w:tcPr>
            <w:tcW w:type="dxa" w:w="2880"/>
          </w:tcPr>
          <w:p>
            <w:r>
              <w:t>effective CEC (ECEC)</w:t>
            </w:r>
          </w:p>
        </w:tc>
        <w:tc>
          <w:tcPr>
            <w:tcW w:type="dxa" w:w="2880"/>
          </w:tcPr>
          <w:p>
            <w:r/>
          </w:p>
        </w:tc>
      </w:tr>
      <w:tr>
        <w:tc>
          <w:tcPr>
            <w:tcW w:type="dxa" w:w="2880"/>
          </w:tcPr>
          <w:p>
            <w:r>
              <w:t>COV microbiens</w:t>
            </w:r>
          </w:p>
        </w:tc>
        <w:tc>
          <w:tcPr>
            <w:tcW w:type="dxa" w:w="2880"/>
          </w:tcPr>
          <w:p>
            <w:r>
              <w:t>Microbial VOCs</w:t>
            </w:r>
          </w:p>
        </w:tc>
        <w:tc>
          <w:tcPr>
            <w:tcW w:type="dxa" w:w="2880"/>
          </w:tcPr>
          <w:p>
            <w:r/>
          </w:p>
        </w:tc>
      </w:tr>
      <w:tr>
        <w:tc>
          <w:tcPr>
            <w:tcW w:type="dxa" w:w="2880"/>
          </w:tcPr>
          <w:p>
            <w:r>
              <w:t>Chao1</w:t>
            </w:r>
          </w:p>
        </w:tc>
        <w:tc>
          <w:tcPr>
            <w:tcW w:type="dxa" w:w="2880"/>
          </w:tcPr>
          <w:p>
            <w:r>
              <w:t>Chao1 richness estimator</w:t>
            </w:r>
          </w:p>
        </w:tc>
        <w:tc>
          <w:tcPr>
            <w:tcW w:type="dxa" w:w="2880"/>
          </w:tcPr>
          <w:p>
            <w:r>
              <w:t>indice Chao1 ; estimateur de richesse Chao1</w:t>
            </w:r>
          </w:p>
        </w:tc>
      </w:tr>
      <w:tr>
        <w:tc>
          <w:tcPr>
            <w:tcW w:type="dxa" w:w="2880"/>
          </w:tcPr>
          <w:p>
            <w:r>
              <w:t>Chaîne 3 — Bokashi → Suppressivité du sol</w:t>
            </w:r>
          </w:p>
        </w:tc>
        <w:tc>
          <w:tcPr>
            <w:tcW w:type="dxa" w:w="2880"/>
          </w:tcPr>
          <w:p>
            <w:r>
              <w:t>Chain 3 — Bokashi to soil suppressiveness</w:t>
            </w:r>
          </w:p>
        </w:tc>
        <w:tc>
          <w:tcPr>
            <w:tcW w:type="dxa" w:w="2880"/>
          </w:tcPr>
          <w:p>
            <w:r>
              <w:t>aucun (concept de protection induite par le ferment) ; induction de résistance par fermentation</w:t>
            </w:r>
          </w:p>
        </w:tc>
      </w:tr>
      <w:tr>
        <w:tc>
          <w:tcPr>
            <w:tcW w:type="dxa" w:w="2880"/>
          </w:tcPr>
          <w:p>
            <w:r>
              <w:t>Chaîne 5 — Diagnostic terrain → Trajectoire économique</w:t>
            </w:r>
          </w:p>
        </w:tc>
        <w:tc>
          <w:tcPr>
            <w:tcW w:type="dxa" w:w="2880"/>
          </w:tcPr>
          <w:p>
            <w:r>
              <w:t>Chain 5 — Soil diagnosis to economic trajectory</w:t>
            </w:r>
          </w:p>
        </w:tc>
        <w:tc>
          <w:tcPr>
            <w:tcW w:type="dxa" w:w="2880"/>
          </w:tcPr>
          <w:p>
            <w:r>
              <w:t>aucun (concept d'intégration agronomique) ; viabilité technico-économique de la transition</w:t>
            </w:r>
          </w:p>
        </w:tc>
      </w:tr>
      <w:tr>
        <w:tc>
          <w:tcPr>
            <w:tcW w:type="dxa" w:w="2880"/>
          </w:tcPr>
          <w:p>
            <w:r>
              <w:t>Chimiotactisme racinaire</w:t>
            </w:r>
          </w:p>
        </w:tc>
        <w:tc>
          <w:tcPr>
            <w:tcW w:type="dxa" w:w="2880"/>
          </w:tcPr>
          <w:p>
            <w:r>
              <w:t>Root chemotaxis</w:t>
            </w:r>
          </w:p>
        </w:tc>
        <w:tc>
          <w:tcPr>
            <w:tcW w:type="dxa" w:w="2880"/>
          </w:tcPr>
          <w:p>
            <w:r/>
          </w:p>
        </w:tc>
      </w:tr>
      <w:tr>
        <w:tc>
          <w:tcPr>
            <w:tcW w:type="dxa" w:w="2880"/>
          </w:tcPr>
          <w:p>
            <w:r>
              <w:t>Consortia synthétiques</w:t>
            </w:r>
          </w:p>
        </w:tc>
        <w:tc>
          <w:tcPr>
            <w:tcW w:type="dxa" w:w="2880"/>
          </w:tcPr>
          <w:p>
            <w:r>
              <w:t>Synthetic communities (SynCom)</w:t>
            </w:r>
          </w:p>
        </w:tc>
        <w:tc>
          <w:tcPr>
            <w:tcW w:type="dxa" w:w="2880"/>
          </w:tcPr>
          <w:p>
            <w:r/>
          </w:p>
        </w:tc>
      </w:tr>
      <w:tr>
        <w:tc>
          <w:tcPr>
            <w:tcW w:type="dxa" w:w="2880"/>
          </w:tcPr>
          <w:p>
            <w:r>
              <w:t>EC sève foliaire</w:t>
            </w:r>
          </w:p>
        </w:tc>
        <w:tc>
          <w:tcPr>
            <w:tcW w:type="dxa" w:w="2880"/>
          </w:tcPr>
          <w:p>
            <w:r>
              <w:t>leaf sap electrical conductivity</w:t>
            </w:r>
          </w:p>
        </w:tc>
        <w:tc>
          <w:tcPr>
            <w:tcW w:type="dxa" w:w="2880"/>
          </w:tcPr>
          <w:p>
            <w:r/>
          </w:p>
        </w:tc>
      </w:tr>
      <w:tr>
        <w:tc>
          <w:tcPr>
            <w:tcW w:type="dxa" w:w="2880"/>
          </w:tcPr>
          <w:p>
            <w:r>
              <w:t>Flavonoïdes nodulation</w:t>
            </w:r>
          </w:p>
        </w:tc>
        <w:tc>
          <w:tcPr>
            <w:tcW w:type="dxa" w:w="2880"/>
          </w:tcPr>
          <w:p>
            <w:r>
              <w:t>Nodulation flavonoids</w:t>
            </w:r>
          </w:p>
        </w:tc>
        <w:tc>
          <w:tcPr>
            <w:tcW w:type="dxa" w:w="2880"/>
          </w:tcPr>
          <w:p>
            <w:r/>
          </w:p>
        </w:tc>
      </w:tr>
      <w:tr>
        <w:tc>
          <w:tcPr>
            <w:tcW w:type="dxa" w:w="2880"/>
          </w:tcPr>
          <w:p>
            <w:r>
              <w:t>Homosérine lactones</w:t>
            </w:r>
          </w:p>
        </w:tc>
        <w:tc>
          <w:tcPr>
            <w:tcW w:type="dxa" w:w="2880"/>
          </w:tcPr>
          <w:p>
            <w:r>
              <w:t>Homoserine lactones</w:t>
            </w:r>
          </w:p>
        </w:tc>
        <w:tc>
          <w:tcPr>
            <w:tcW w:type="dxa" w:w="2880"/>
          </w:tcPr>
          <w:p>
            <w:r/>
          </w:p>
        </w:tc>
      </w:tr>
      <w:tr>
        <w:tc>
          <w:tcPr>
            <w:tcW w:type="dxa" w:w="2880"/>
          </w:tcPr>
          <w:p>
            <w:r>
              <w:t>Indice de maturité de Bongers</w:t>
            </w:r>
          </w:p>
        </w:tc>
        <w:tc>
          <w:tcPr>
            <w:tcW w:type="dxa" w:w="2880"/>
          </w:tcPr>
          <w:p>
            <w:r>
              <w:t>Bongers Maturity Index</w:t>
            </w:r>
          </w:p>
        </w:tc>
        <w:tc>
          <w:tcPr>
            <w:tcW w:type="dxa" w:w="2880"/>
          </w:tcPr>
          <w:p>
            <w:r>
              <w:t>Indice de maturité ; indice nématologique de santé du sol</w:t>
            </w:r>
          </w:p>
        </w:tc>
      </w:tr>
      <w:tr>
        <w:tc>
          <w:tcPr>
            <w:tcW w:type="dxa" w:w="2880"/>
          </w:tcPr>
          <w:p>
            <w:r>
              <w:t>PLFA</w:t>
            </w:r>
          </w:p>
        </w:tc>
        <w:tc>
          <w:tcPr>
            <w:tcW w:type="dxa" w:w="2880"/>
          </w:tcPr>
          <w:p>
            <w:r>
              <w:t>phospholipid fatty acid analysis (PLFA)</w:t>
            </w:r>
          </w:p>
        </w:tc>
        <w:tc>
          <w:tcPr>
            <w:tcW w:type="dxa" w:w="2880"/>
          </w:tcPr>
          <w:p>
            <w:r>
              <w:t>analyse PLFA · acides gras phospholipidiques</w:t>
            </w:r>
          </w:p>
        </w:tc>
      </w:tr>
      <w:tr>
        <w:tc>
          <w:tcPr>
            <w:tcW w:type="dxa" w:w="2880"/>
          </w:tcPr>
          <w:p>
            <w:r>
              <w:t>PLFA (phospholipid fatty acid analysis)</w:t>
            </w:r>
          </w:p>
        </w:tc>
        <w:tc>
          <w:tcPr>
            <w:tcW w:type="dxa" w:w="2880"/>
          </w:tcPr>
          <w:p>
            <w:r>
              <w:t>phospholipid fatty acid analysis</w:t>
            </w:r>
          </w:p>
        </w:tc>
        <w:tc>
          <w:tcPr>
            <w:tcW w:type="dxa" w:w="2880"/>
          </w:tcPr>
          <w:p>
            <w:r>
              <w:t>Analyse des acides gras phospholipidiques ; profilage des communautés microbiennes</w:t>
            </w:r>
          </w:p>
        </w:tc>
      </w:tr>
      <w:tr>
        <w:tc>
          <w:tcPr>
            <w:tcW w:type="dxa" w:w="2880"/>
          </w:tcPr>
          <w:p>
            <w:r>
              <w:t>Signaux inter-règnes</w:t>
            </w:r>
          </w:p>
        </w:tc>
        <w:tc>
          <w:tcPr>
            <w:tcW w:type="dxa" w:w="2880"/>
          </w:tcPr>
          <w:p>
            <w:r>
              <w:t>Inter-kingdom signaling</w:t>
            </w:r>
          </w:p>
        </w:tc>
        <w:tc>
          <w:tcPr>
            <w:tcW w:type="dxa" w:w="2880"/>
          </w:tcPr>
          <w:p>
            <w:r/>
          </w:p>
        </w:tc>
      </w:tr>
      <w:tr>
        <w:tc>
          <w:tcPr>
            <w:tcW w:type="dxa" w:w="2880"/>
          </w:tcPr>
          <w:p>
            <w:r>
              <w:t>Solvita</w:t>
            </w:r>
          </w:p>
        </w:tc>
        <w:tc>
          <w:tcPr>
            <w:tcW w:type="dxa" w:w="2880"/>
          </w:tcPr>
          <w:p>
            <w:r>
              <w:t>Solvita test</w:t>
            </w:r>
          </w:p>
        </w:tc>
        <w:tc>
          <w:tcPr>
            <w:tcW w:type="dxa" w:w="2880"/>
          </w:tcPr>
          <w:p>
            <w:r>
              <w:t>Test de respiration Solvita ; mesure rapide du CO2</w:t>
            </w:r>
          </w:p>
        </w:tc>
      </w:tr>
      <w:tr>
        <w:tc>
          <w:tcPr>
            <w:tcW w:type="dxa" w:w="2880"/>
          </w:tcPr>
          <w:p>
            <w:r>
              <w:t>VESS</w:t>
            </w:r>
          </w:p>
        </w:tc>
        <w:tc>
          <w:tcPr>
            <w:tcW w:type="dxa" w:w="2880"/>
          </w:tcPr>
          <w:p>
            <w:r>
              <w:t>visual evaluation of soil structure (VESS)</w:t>
            </w:r>
          </w:p>
        </w:tc>
        <w:tc>
          <w:tcPr>
            <w:tcW w:type="dxa" w:w="2880"/>
          </w:tcPr>
          <w:p>
            <w:r>
              <w:t>évaluation visuelle de la structure du sol ; test bêche</w:t>
            </w:r>
          </w:p>
        </w:tc>
      </w:tr>
      <w:tr>
        <w:tc>
          <w:tcPr>
            <w:tcW w:type="dxa" w:w="2880"/>
          </w:tcPr>
          <w:p>
            <w:r>
              <w:t>acides organiques (solubilisation)</w:t>
            </w:r>
          </w:p>
        </w:tc>
        <w:tc>
          <w:tcPr>
            <w:tcW w:type="dxa" w:w="2880"/>
          </w:tcPr>
          <w:p>
            <w:r>
              <w:t>organic acids (nutrient solubilization)</w:t>
            </w:r>
          </w:p>
        </w:tc>
        <w:tc>
          <w:tcPr>
            <w:tcW w:type="dxa" w:w="2880"/>
          </w:tcPr>
          <w:p>
            <w:r>
              <w:t>acides carboxyliques, exsudats acides</w:t>
            </w:r>
          </w:p>
        </w:tc>
      </w:tr>
      <w:tr>
        <w:tc>
          <w:tcPr>
            <w:tcW w:type="dxa" w:w="2880"/>
          </w:tcPr>
          <w:p>
            <w:r>
              <w:t>activité biologique</w:t>
            </w:r>
          </w:p>
        </w:tc>
        <w:tc>
          <w:tcPr>
            <w:tcW w:type="dxa" w:w="2880"/>
          </w:tcPr>
          <w:p>
            <w:r>
              <w:t>biological activity</w:t>
            </w:r>
          </w:p>
        </w:tc>
        <w:tc>
          <w:tcPr>
            <w:tcW w:type="dxa" w:w="2880"/>
          </w:tcPr>
          <w:p>
            <w:r>
              <w:t>Vie du sol ; dynamisme biologique ; fonctionnement biologique</w:t>
            </w:r>
          </w:p>
        </w:tc>
      </w:tr>
      <w:tr>
        <w:tc>
          <w:tcPr>
            <w:tcW w:type="dxa" w:w="2880"/>
          </w:tcPr>
          <w:p>
            <w:r>
              <w:t>activité enzymatique du sol</w:t>
            </w:r>
          </w:p>
        </w:tc>
        <w:tc>
          <w:tcPr>
            <w:tcW w:type="dxa" w:w="2880"/>
          </w:tcPr>
          <w:p>
            <w:r>
              <w:t>soil enzymatic activity</w:t>
            </w:r>
          </w:p>
        </w:tc>
        <w:tc>
          <w:tcPr>
            <w:tcW w:type="dxa" w:w="2880"/>
          </w:tcPr>
          <w:p>
            <w:r>
              <w:t>Potentiel enzymatique ; activité biochimique du sol</w:t>
            </w:r>
          </w:p>
        </w:tc>
      </w:tr>
      <w:tr>
        <w:tc>
          <w:tcPr>
            <w:tcW w:type="dxa" w:w="2880"/>
          </w:tcPr>
          <w:p>
            <w:r>
              <w:t>agriculture de précision</w:t>
            </w:r>
          </w:p>
        </w:tc>
        <w:tc>
          <w:tcPr>
            <w:tcW w:type="dxa" w:w="2880"/>
          </w:tcPr>
          <w:p>
            <w:r>
              <w:t>precision agriculture</w:t>
            </w:r>
          </w:p>
        </w:tc>
        <w:tc>
          <w:tcPr>
            <w:tcW w:type="dxa" w:w="2880"/>
          </w:tcPr>
          <w:p>
            <w:r>
              <w:t>agriculture à haute précision</w:t>
            </w:r>
          </w:p>
        </w:tc>
      </w:tr>
      <w:tr>
        <w:tc>
          <w:tcPr>
            <w:tcW w:type="dxa" w:w="2880"/>
          </w:tcPr>
          <w:p>
            <w:r>
              <w:t>amendement structurant</w:t>
            </w:r>
          </w:p>
        </w:tc>
        <w:tc>
          <w:tcPr>
            <w:tcW w:type="dxa" w:w="2880"/>
          </w:tcPr>
          <w:p>
            <w:r>
              <w:t>structural soil amendment</w:t>
            </w:r>
          </w:p>
        </w:tc>
        <w:tc>
          <w:tcPr>
            <w:tcW w:type="dxa" w:w="2880"/>
          </w:tcPr>
          <w:p>
            <w:r/>
          </w:p>
        </w:tc>
      </w:tr>
      <w:tr>
        <w:tc>
          <w:tcPr>
            <w:tcW w:type="dxa" w:w="2880"/>
          </w:tcPr>
          <w:p>
            <w:r>
              <w:t>anthocyanines (marqueur de stress)</w:t>
            </w:r>
          </w:p>
        </w:tc>
        <w:tc>
          <w:tcPr>
            <w:tcW w:type="dxa" w:w="2880"/>
          </w:tcPr>
          <w:p>
            <w:r>
              <w:t>anthocyanins (stress marker)</w:t>
            </w:r>
          </w:p>
        </w:tc>
        <w:tc>
          <w:tcPr>
            <w:tcW w:type="dxa" w:w="2880"/>
          </w:tcPr>
          <w:p>
            <w:r>
              <w:t>pigmentation pourpre, anthocyanes</w:t>
            </w:r>
          </w:p>
        </w:tc>
      </w:tr>
      <w:tr>
        <w:tc>
          <w:tcPr>
            <w:tcW w:type="dxa" w:w="2880"/>
          </w:tcPr>
          <w:p>
            <w:r>
              <w:t>arbre de décision diagnostic</w:t>
            </w:r>
          </w:p>
        </w:tc>
        <w:tc>
          <w:tcPr>
            <w:tcW w:type="dxa" w:w="2880"/>
          </w:tcPr>
          <w:p>
            <w:r>
              <w:t>diagnostic decision tree</w:t>
            </w:r>
          </w:p>
        </w:tc>
        <w:tc>
          <w:tcPr>
            <w:tcW w:type="dxa" w:w="2880"/>
          </w:tcPr>
          <w:p>
            <w:r>
              <w:t>Clé de détermination diagnostic ; protocole de décision ; clé de détermination diagnostique</w:t>
            </w:r>
          </w:p>
        </w:tc>
      </w:tr>
      <w:tr>
        <w:tc>
          <w:tcPr>
            <w:tcW w:type="dxa" w:w="2880"/>
          </w:tcPr>
          <w:p>
            <w:r>
              <w:t>biomasse microbienne</w:t>
            </w:r>
          </w:p>
        </w:tc>
        <w:tc>
          <w:tcPr>
            <w:tcW w:type="dxa" w:w="2880"/>
          </w:tcPr>
          <w:p>
            <w:r>
              <w:t>microbial biomass</w:t>
            </w:r>
          </w:p>
        </w:tc>
        <w:tc>
          <w:tcPr>
            <w:tcW w:type="dxa" w:w="2880"/>
          </w:tcPr>
          <w:p>
            <w:r>
              <w:t>C-microbien ; masse des microorganismes du sol</w:t>
            </w:r>
          </w:p>
        </w:tc>
      </w:tr>
      <w:tr>
        <w:tc>
          <w:tcPr>
            <w:tcW w:type="dxa" w:w="2880"/>
          </w:tcPr>
          <w:p>
            <w:r>
              <w:t>blocage nutritionnel (lock-up)</w:t>
            </w:r>
          </w:p>
        </w:tc>
        <w:tc>
          <w:tcPr>
            <w:tcW w:type="dxa" w:w="2880"/>
          </w:tcPr>
          <w:p>
            <w:r>
              <w:t>nutrient lock-up</w:t>
            </w:r>
          </w:p>
        </w:tc>
        <w:tc>
          <w:tcPr>
            <w:tcW w:type="dxa" w:w="2880"/>
          </w:tcPr>
          <w:p>
            <w:r>
              <w:t>immobilisation chimique, rétrogradation, fixation</w:t>
            </w:r>
          </w:p>
        </w:tc>
      </w:tr>
      <w:tr>
        <w:tc>
          <w:tcPr>
            <w:tcW w:type="dxa" w:w="2880"/>
          </w:tcPr>
          <w:p>
            <w:r>
              <w:t>bore (B) — rôle et carence</w:t>
            </w:r>
          </w:p>
        </w:tc>
        <w:tc>
          <w:tcPr>
            <w:tcW w:type="dxa" w:w="2880"/>
          </w:tcPr>
          <w:p>
            <w:r>
              <w:t>boron (B) — role and deficiency</w:t>
            </w:r>
          </w:p>
        </w:tc>
        <w:tc>
          <w:tcPr>
            <w:tcW w:type="dxa" w:w="2880"/>
          </w:tcPr>
          <w:p>
            <w:r>
              <w:t>B, bore, boron</w:t>
            </w:r>
          </w:p>
        </w:tc>
      </w:tr>
      <w:tr>
        <w:tc>
          <w:tcPr>
            <w:tcW w:type="dxa" w:w="2880"/>
          </w:tcPr>
          <w:p>
            <w:r>
              <w:t>charge dispersive nette</w:t>
            </w:r>
          </w:p>
        </w:tc>
        <w:tc>
          <w:tcPr>
            <w:tcW w:type="dxa" w:w="2880"/>
          </w:tcPr>
          <w:p>
            <w:r>
              <w:t>net dispersive charge (NDC)</w:t>
            </w:r>
          </w:p>
        </w:tc>
        <w:tc>
          <w:tcPr>
            <w:tcW w:type="dxa" w:w="2880"/>
          </w:tcPr>
          <w:p>
            <w:r/>
          </w:p>
        </w:tc>
      </w:tr>
      <w:tr>
        <w:tc>
          <w:tcPr>
            <w:tcW w:type="dxa" w:w="2880"/>
          </w:tcPr>
          <w:p>
            <w:r>
              <w:t>chlorose</w:t>
            </w:r>
          </w:p>
        </w:tc>
        <w:tc>
          <w:tcPr>
            <w:tcW w:type="dxa" w:w="2880"/>
          </w:tcPr>
          <w:p>
            <w:r>
              <w:t>chlorosis</w:t>
            </w:r>
          </w:p>
        </w:tc>
        <w:tc>
          <w:tcPr>
            <w:tcW w:type="dxa" w:w="2880"/>
          </w:tcPr>
          <w:p>
            <w:r>
              <w:t>jaunissement foliaire</w:t>
            </w:r>
          </w:p>
        </w:tc>
      </w:tr>
      <w:tr>
        <w:tc>
          <w:tcPr>
            <w:tcW w:type="dxa" w:w="2880"/>
          </w:tcPr>
          <w:p>
            <w:r>
              <w:t>chlorose interveinale</w:t>
            </w:r>
          </w:p>
        </w:tc>
        <w:tc>
          <w:tcPr>
            <w:tcW w:type="dxa" w:w="2880"/>
          </w:tcPr>
          <w:p>
            <w:r>
              <w:t>interveinal chlorosis</w:t>
            </w:r>
          </w:p>
        </w:tc>
        <w:tc>
          <w:tcPr>
            <w:tcW w:type="dxa" w:w="2880"/>
          </w:tcPr>
          <w:p>
            <w:r>
              <w:t>chlorose internervaire</w:t>
            </w:r>
          </w:p>
        </w:tc>
      </w:tr>
      <w:tr>
        <w:tc>
          <w:tcPr>
            <w:tcW w:type="dxa" w:w="2880"/>
          </w:tcPr>
          <w:p>
            <w:r>
              <w:t>diagnostic</w:t>
            </w:r>
          </w:p>
        </w:tc>
        <w:tc>
          <w:tcPr>
            <w:tcW w:type="dxa" w:w="2880"/>
          </w:tcPr>
          <w:p>
            <w:r>
              <w:t>diagnosis</w:t>
            </w:r>
          </w:p>
        </w:tc>
        <w:tc>
          <w:tcPr>
            <w:tcW w:type="dxa" w:w="2880"/>
          </w:tcPr>
          <w:p>
            <w:r>
              <w:t>État des lieux du sol ; évaluation pédologique</w:t>
            </w:r>
          </w:p>
        </w:tc>
      </w:tr>
      <w:tr>
        <w:tc>
          <w:tcPr>
            <w:tcW w:type="dxa" w:w="2880"/>
          </w:tcPr>
          <w:p>
            <w:r>
              <w:t>diagnostic foliaire</w:t>
            </w:r>
          </w:p>
        </w:tc>
        <w:tc>
          <w:tcPr>
            <w:tcW w:type="dxa" w:w="2880"/>
          </w:tcPr>
          <w:p>
            <w:r>
              <w:t>foliar diagnosis</w:t>
            </w:r>
          </w:p>
        </w:tc>
        <w:tc>
          <w:tcPr>
            <w:tcW w:type="dxa" w:w="2880"/>
          </w:tcPr>
          <w:p>
            <w:r>
              <w:t>analyse foliaire, analyse de sève, sap analysis</w:t>
            </w:r>
          </w:p>
        </w:tc>
      </w:tr>
      <w:tr>
        <w:tc>
          <w:tcPr>
            <w:tcW w:type="dxa" w:w="2880"/>
          </w:tcPr>
          <w:p>
            <w:r>
              <w:t>dispersion des argiles</w:t>
            </w:r>
          </w:p>
        </w:tc>
        <w:tc>
          <w:tcPr>
            <w:tcW w:type="dxa" w:w="2880"/>
          </w:tcPr>
          <w:p>
            <w:r>
              <w:t>clay dispersion</w:t>
            </w:r>
          </w:p>
        </w:tc>
        <w:tc>
          <w:tcPr>
            <w:tcW w:type="dxa" w:w="2880"/>
          </w:tcPr>
          <w:p>
            <w:r/>
          </w:p>
        </w:tc>
      </w:tr>
      <w:tr>
        <w:tc>
          <w:tcPr>
            <w:tcW w:type="dxa" w:w="2880"/>
          </w:tcPr>
          <w:p>
            <w:r>
              <w:t>dolomite</w:t>
            </w:r>
          </w:p>
        </w:tc>
        <w:tc>
          <w:tcPr>
            <w:tcW w:type="dxa" w:w="2880"/>
          </w:tcPr>
          <w:p>
            <w:r>
              <w:t>dolomite</w:t>
            </w:r>
          </w:p>
        </w:tc>
        <w:tc>
          <w:tcPr>
            <w:tcW w:type="dxa" w:w="2880"/>
          </w:tcPr>
          <w:p>
            <w:r/>
          </w:p>
        </w:tc>
      </w:tr>
      <w:tr>
        <w:tc>
          <w:tcPr>
            <w:tcW w:type="dxa" w:w="2880"/>
          </w:tcPr>
          <w:p>
            <w:r>
              <w:t>entonnoir de Baermann</w:t>
            </w:r>
          </w:p>
        </w:tc>
        <w:tc>
          <w:tcPr>
            <w:tcW w:type="dxa" w:w="2880"/>
          </w:tcPr>
          <w:p>
            <w:r>
              <w:t>Baermann funnel</w:t>
            </w:r>
          </w:p>
        </w:tc>
        <w:tc>
          <w:tcPr>
            <w:tcW w:type="dxa" w:w="2880"/>
          </w:tcPr>
          <w:p>
            <w:r>
              <w:t>Dispositif de Baermann ; méthode d'extraction par hydrotropisme</w:t>
            </w:r>
          </w:p>
        </w:tc>
      </w:tr>
      <w:tr>
        <w:tc>
          <w:tcPr>
            <w:tcW w:type="dxa" w:w="2880"/>
          </w:tcPr>
          <w:p>
            <w:r>
              <w:t>faim cachée (hidden hunger)</w:t>
            </w:r>
          </w:p>
        </w:tc>
        <w:tc>
          <w:tcPr>
            <w:tcW w:type="dxa" w:w="2880"/>
          </w:tcPr>
          <w:p>
            <w:r>
              <w:t>hidden hunger</w:t>
            </w:r>
          </w:p>
        </w:tc>
        <w:tc>
          <w:tcPr>
            <w:tcW w:type="dxa" w:w="2880"/>
          </w:tcPr>
          <w:p>
            <w:r>
              <w:t>carence subclinique, déficience latente</w:t>
            </w:r>
          </w:p>
        </w:tc>
      </w:tr>
      <w:tr>
        <w:tc>
          <w:tcPr>
            <w:tcW w:type="dxa" w:w="2880"/>
          </w:tcPr>
          <w:p>
            <w:r>
              <w:t>fluorescéine diacétate (FDA)</w:t>
            </w:r>
          </w:p>
        </w:tc>
        <w:tc>
          <w:tcPr>
            <w:tcW w:type="dxa" w:w="2880"/>
          </w:tcPr>
          <w:p>
            <w:r>
              <w:t>fluorescein diacetate (FDA)</w:t>
            </w:r>
          </w:p>
        </w:tc>
        <w:tc>
          <w:tcPr>
            <w:tcW w:type="dxa" w:w="2880"/>
          </w:tcPr>
          <w:p>
            <w:r/>
          </w:p>
        </w:tc>
      </w:tr>
      <w:tr>
        <w:tc>
          <w:tcPr>
            <w:tcW w:type="dxa" w:w="2880"/>
          </w:tcPr>
          <w:p>
            <w:r>
              <w:t>gypse agricole</w:t>
            </w:r>
          </w:p>
        </w:tc>
        <w:tc>
          <w:tcPr>
            <w:tcW w:type="dxa" w:w="2880"/>
          </w:tcPr>
          <w:p>
            <w:r>
              <w:t>agricultural gypsum</w:t>
            </w:r>
          </w:p>
        </w:tc>
        <w:tc>
          <w:tcPr>
            <w:tcW w:type="dxa" w:w="2880"/>
          </w:tcPr>
          <w:p>
            <w:r/>
          </w:p>
        </w:tc>
      </w:tr>
      <w:tr>
        <w:tc>
          <w:tcPr>
            <w:tcW w:type="dxa" w:w="2880"/>
          </w:tcPr>
          <w:p>
            <w:r>
              <w:t>indicateurs biologiques</w:t>
            </w:r>
          </w:p>
        </w:tc>
        <w:tc>
          <w:tcPr>
            <w:tcW w:type="dxa" w:w="2880"/>
          </w:tcPr>
          <w:p>
            <w:r>
              <w:t>biological soil indicators</w:t>
            </w:r>
          </w:p>
        </w:tc>
        <w:tc>
          <w:tcPr>
            <w:tcW w:type="dxa" w:w="2880"/>
          </w:tcPr>
          <w:p>
            <w:r>
              <w:t>bioindicateur · organisme sentinelle ; Bio-indicateurs ; paramètres biologiques de santé du sol ; bio-indicateurs de santé</w:t>
            </w:r>
          </w:p>
        </w:tc>
      </w:tr>
      <w:tr>
        <w:tc>
          <w:tcPr>
            <w:tcW w:type="dxa" w:w="2880"/>
          </w:tcPr>
          <w:p>
            <w:r>
              <w:t>indice QBS-ar</w:t>
            </w:r>
          </w:p>
        </w:tc>
        <w:tc>
          <w:tcPr>
            <w:tcW w:type="dxa" w:w="2880"/>
          </w:tcPr>
          <w:p>
            <w:r>
              <w:t>QBS-ar index (Biological Quality of Soil)</w:t>
            </w:r>
          </w:p>
        </w:tc>
        <w:tc>
          <w:tcPr>
            <w:tcW w:type="dxa" w:w="2880"/>
          </w:tcPr>
          <w:p>
            <w:r/>
          </w:p>
        </w:tc>
      </w:tr>
      <w:tr>
        <w:tc>
          <w:tcPr>
            <w:tcW w:type="dxa" w:w="2880"/>
          </w:tcPr>
          <w:p>
            <w:r>
              <w:t>magnésium (Mg) — rôle et carence</w:t>
            </w:r>
          </w:p>
        </w:tc>
        <w:tc>
          <w:tcPr>
            <w:tcW w:type="dxa" w:w="2880"/>
          </w:tcPr>
          <w:p>
            <w:r>
              <w:t>magnesium (Mg) — role and deficiency</w:t>
            </w:r>
          </w:p>
        </w:tc>
        <w:tc>
          <w:tcPr>
            <w:tcW w:type="dxa" w:w="2880"/>
          </w:tcPr>
          <w:p>
            <w:r>
              <w:t>Mg, magnésie</w:t>
            </w:r>
          </w:p>
        </w:tc>
      </w:tr>
      <w:tr>
        <w:tc>
          <w:tcPr>
            <w:tcW w:type="dxa" w:w="2880"/>
          </w:tcPr>
          <w:p>
            <w:r>
              <w:t>nutriments mobiles et immobiles</w:t>
            </w:r>
          </w:p>
        </w:tc>
        <w:tc>
          <w:tcPr>
            <w:tcW w:type="dxa" w:w="2880"/>
          </w:tcPr>
          <w:p>
            <w:r>
              <w:t>mobile and immobile nutrients</w:t>
            </w:r>
          </w:p>
        </w:tc>
        <w:tc>
          <w:tcPr>
            <w:tcW w:type="dxa" w:w="2880"/>
          </w:tcPr>
          <w:p>
            <w:r>
              <w:t>mobilité des nutriments, translocation</w:t>
            </w:r>
          </w:p>
        </w:tc>
      </w:tr>
      <w:tr>
        <w:tc>
          <w:tcPr>
            <w:tcW w:type="dxa" w:w="2880"/>
          </w:tcPr>
          <w:p>
            <w:r>
              <w:t>nécrose foliaire</w:t>
            </w:r>
          </w:p>
        </w:tc>
        <w:tc>
          <w:tcPr>
            <w:tcW w:type="dxa" w:w="2880"/>
          </w:tcPr>
          <w:p>
            <w:r>
              <w:t>leaf necrosis</w:t>
            </w:r>
          </w:p>
        </w:tc>
        <w:tc>
          <w:tcPr>
            <w:tcW w:type="dxa" w:w="2880"/>
          </w:tcPr>
          <w:p>
            <w:r>
              <w:t>nécrose marginale, nécrose apicale, tip burn, blossom end rot</w:t>
            </w:r>
          </w:p>
        </w:tc>
      </w:tr>
      <w:tr>
        <w:tc>
          <w:tcPr>
            <w:tcW w:type="dxa" w:w="2880"/>
          </w:tcPr>
          <w:p>
            <w:r>
              <w:t>nématodes</w:t>
            </w:r>
          </w:p>
        </w:tc>
        <w:tc>
          <w:tcPr>
            <w:tcW w:type="dxa" w:w="2880"/>
          </w:tcPr>
          <w:p>
            <w:r>
              <w:t>nematodes</w:t>
            </w:r>
          </w:p>
        </w:tc>
        <w:tc>
          <w:tcPr>
            <w:tcW w:type="dxa" w:w="2880"/>
          </w:tcPr>
          <w:p>
            <w:r>
              <w:t>Nématofaune ; vers ronds microscopiques</w:t>
            </w:r>
          </w:p>
        </w:tc>
      </w:tr>
      <w:tr>
        <w:tc>
          <w:tcPr>
            <w:tcW w:type="dxa" w:w="2880"/>
          </w:tcPr>
          <w:p>
            <w:r>
              <w:t>pH du sol</w:t>
            </w:r>
          </w:p>
        </w:tc>
        <w:tc>
          <w:tcPr>
            <w:tcW w:type="dxa" w:w="2880"/>
          </w:tcPr>
          <w:p>
            <w:r>
              <w:t>soil pH</w:t>
            </w:r>
          </w:p>
        </w:tc>
        <w:tc>
          <w:tcPr>
            <w:tcW w:type="dxa" w:w="2880"/>
          </w:tcPr>
          <w:p>
            <w:r/>
          </w:p>
        </w:tc>
      </w:tr>
      <w:tr>
        <w:tc>
          <w:tcPr>
            <w:tcW w:type="dxa" w:w="2880"/>
          </w:tcPr>
          <w:p>
            <w:r>
              <w:t>pH sève foliaire</w:t>
            </w:r>
          </w:p>
        </w:tc>
        <w:tc>
          <w:tcPr>
            <w:tcW w:type="dxa" w:w="2880"/>
          </w:tcPr>
          <w:p>
            <w:r>
              <w:t>leaf sap pH</w:t>
            </w:r>
          </w:p>
        </w:tc>
        <w:tc>
          <w:tcPr>
            <w:tcW w:type="dxa" w:w="2880"/>
          </w:tcPr>
          <w:p>
            <w:r/>
          </w:p>
        </w:tc>
      </w:tr>
      <w:tr>
        <w:tc>
          <w:tcPr>
            <w:tcW w:type="dxa" w:w="2880"/>
          </w:tcPr>
          <w:p>
            <w:r>
              <w:t>phosphate naturel</w:t>
            </w:r>
          </w:p>
        </w:tc>
        <w:tc>
          <w:tcPr>
            <w:tcW w:type="dxa" w:w="2880"/>
          </w:tcPr>
          <w:p>
            <w:r>
              <w:t>rock phosphate</w:t>
            </w:r>
          </w:p>
        </w:tc>
        <w:tc>
          <w:tcPr>
            <w:tcW w:type="dxa" w:w="2880"/>
          </w:tcPr>
          <w:p>
            <w:r/>
          </w:p>
        </w:tc>
      </w:tr>
      <w:tr>
        <w:tc>
          <w:tcPr>
            <w:tcW w:type="dxa" w:w="2880"/>
          </w:tcPr>
          <w:p>
            <w:r>
              <w:t>plantes bio-indicatrices</w:t>
            </w:r>
          </w:p>
        </w:tc>
        <w:tc>
          <w:tcPr>
            <w:tcW w:type="dxa" w:w="2880"/>
          </w:tcPr>
          <w:p>
            <w:r>
              <w:t>bio-indicator plants</w:t>
            </w:r>
          </w:p>
        </w:tc>
        <w:tc>
          <w:tcPr>
            <w:tcW w:type="dxa" w:w="2880"/>
          </w:tcPr>
          <w:p>
            <w:r>
              <w:t>Flore indicatrice ; plantes témoins des conditions de sol</w:t>
            </w:r>
          </w:p>
        </w:tc>
      </w:tr>
      <w:tr>
        <w:tc>
          <w:tcPr>
            <w:tcW w:type="dxa" w:w="2880"/>
          </w:tcPr>
          <w:p>
            <w:r>
              <w:t>profil cultural</w:t>
            </w:r>
          </w:p>
        </w:tc>
        <w:tc>
          <w:tcPr>
            <w:tcW w:type="dxa" w:w="2880"/>
          </w:tcPr>
          <w:p>
            <w:r>
              <w:t>cultural profile</w:t>
            </w:r>
          </w:p>
        </w:tc>
        <w:tc>
          <w:tcPr>
            <w:tcW w:type="dxa" w:w="2880"/>
          </w:tcPr>
          <w:p>
            <w:r>
              <w:t>Méthode du profil cultural ; observation Manichon</w:t>
            </w:r>
          </w:p>
        </w:tc>
      </w:tr>
      <w:tr>
        <w:tc>
          <w:tcPr>
            <w:tcW w:type="dxa" w:w="2880"/>
          </w:tcPr>
          <w:p>
            <w:r>
              <w:t>pénétrométrie</w:t>
            </w:r>
          </w:p>
        </w:tc>
        <w:tc>
          <w:tcPr>
            <w:tcW w:type="dxa" w:w="2880"/>
          </w:tcPr>
          <w:p>
            <w:r>
              <w:t>penetrometry</w:t>
            </w:r>
          </w:p>
        </w:tc>
        <w:tc>
          <w:tcPr>
            <w:tcW w:type="dxa" w:w="2880"/>
          </w:tcPr>
          <w:p>
            <w:r>
              <w:t>Mesure de la résistance à la pénétration ; test de compactage</w:t>
            </w:r>
          </w:p>
        </w:tc>
      </w:tr>
      <w:tr>
        <w:tc>
          <w:tcPr>
            <w:tcW w:type="dxa" w:w="2880"/>
          </w:tcPr>
          <w:p>
            <w:r>
              <w:t>ratio C/Argile</w:t>
            </w:r>
          </w:p>
        </w:tc>
        <w:tc>
          <w:tcPr>
            <w:tcW w:type="dxa" w:w="2880"/>
          </w:tcPr>
          <w:p>
            <w:r>
              <w:t>carbon-to-clay ratio</w:t>
            </w:r>
          </w:p>
        </w:tc>
        <w:tc>
          <w:tcPr>
            <w:tcW w:type="dxa" w:w="2880"/>
          </w:tcPr>
          <w:p>
            <w:r>
              <w:t>Rapport carbone sur argile ; indice de protection organique</w:t>
            </w:r>
          </w:p>
        </w:tc>
      </w:tr>
      <w:tr>
        <w:tc>
          <w:tcPr>
            <w:tcW w:type="dxa" w:w="2880"/>
          </w:tcPr>
          <w:p>
            <w:r>
              <w:t>ratio Ca/Mg</w:t>
            </w:r>
          </w:p>
        </w:tc>
        <w:tc>
          <w:tcPr>
            <w:tcW w:type="dxa" w:w="2880"/>
          </w:tcPr>
          <w:p>
            <w:r>
              <w:t>calcium-to-magnesium ratio</w:t>
            </w:r>
          </w:p>
        </w:tc>
        <w:tc>
          <w:tcPr>
            <w:tcW w:type="dxa" w:w="2880"/>
          </w:tcPr>
          <w:p>
            <w:r/>
          </w:p>
        </w:tc>
      </w:tr>
      <w:tr>
        <w:tc>
          <w:tcPr>
            <w:tcW w:type="dxa" w:w="2880"/>
          </w:tcPr>
          <w:p>
            <w:r>
              <w:t>ratio fungi:bacteria</w:t>
            </w:r>
          </w:p>
        </w:tc>
        <w:tc>
          <w:tcPr>
            <w:tcW w:type="dxa" w:w="2880"/>
          </w:tcPr>
          <w:p>
            <w:r>
              <w:t>fungi to bacteria ratio (F:B)</w:t>
            </w:r>
          </w:p>
        </w:tc>
        <w:tc>
          <w:tcPr>
            <w:tcW w:type="dxa" w:w="2880"/>
          </w:tcPr>
          <w:p>
            <w:r/>
          </w:p>
        </w:tc>
      </w:tr>
      <w:tr>
        <w:tc>
          <w:tcPr>
            <w:tcW w:type="dxa" w:w="2880"/>
          </w:tcPr>
          <w:p>
            <w:r>
              <w:t>ratio stœchiométrique NPS</w:t>
            </w:r>
          </w:p>
        </w:tc>
        <w:tc>
          <w:tcPr>
            <w:tcW w:type="dxa" w:w="2880"/>
          </w:tcPr>
          <w:p>
            <w:r>
              <w:t>NPS stoichiometric ratio</w:t>
            </w:r>
          </w:p>
        </w:tc>
        <w:tc>
          <w:tcPr>
            <w:tcW w:type="dxa" w:w="2880"/>
          </w:tcPr>
          <w:p>
            <w:r>
              <w:t>Ratio de Kirkby ; équilibre carbone-azote-phosphore-soufre</w:t>
            </w:r>
          </w:p>
        </w:tc>
      </w:tr>
      <w:tr>
        <w:tc>
          <w:tcPr>
            <w:tcW w:type="dxa" w:w="2880"/>
          </w:tcPr>
          <w:p>
            <w:r>
              <w:t>respiration CO₂ du sol</w:t>
            </w:r>
          </w:p>
        </w:tc>
        <w:tc>
          <w:tcPr>
            <w:tcW w:type="dxa" w:w="2880"/>
          </w:tcPr>
          <w:p>
            <w:r>
              <w:t>soil CO₂ respiration</w:t>
            </w:r>
          </w:p>
        </w:tc>
        <w:tc>
          <w:tcPr>
            <w:tcW w:type="dxa" w:w="2880"/>
          </w:tcPr>
          <w:p>
            <w:r/>
          </w:p>
        </w:tc>
      </w:tr>
      <w:tr>
        <w:tc>
          <w:tcPr>
            <w:tcW w:type="dxa" w:w="2880"/>
          </w:tcPr>
          <w:p>
            <w:r>
              <w:t>respiration basale du sol</w:t>
            </w:r>
          </w:p>
        </w:tc>
        <w:tc>
          <w:tcPr>
            <w:tcW w:type="dxa" w:w="2880"/>
          </w:tcPr>
          <w:p>
            <w:r>
              <w:t>basal soil respiration</w:t>
            </w:r>
          </w:p>
        </w:tc>
        <w:tc>
          <w:tcPr>
            <w:tcW w:type="dxa" w:w="2880"/>
          </w:tcPr>
          <w:p>
            <w:r>
              <w:t>Respiration microbienne de base ; flux de CO2 basal</w:t>
            </w:r>
          </w:p>
        </w:tc>
      </w:tr>
      <w:tr>
        <w:tc>
          <w:tcPr>
            <w:tcW w:type="dxa" w:w="2880"/>
          </w:tcPr>
          <w:p>
            <w:r>
              <w:t>respiration du sol</w:t>
            </w:r>
          </w:p>
        </w:tc>
        <w:tc>
          <w:tcPr>
            <w:tcW w:type="dxa" w:w="2880"/>
          </w:tcPr>
          <w:p>
            <w:r>
              <w:t>soil respiration</w:t>
            </w:r>
          </w:p>
        </w:tc>
        <w:tc>
          <w:tcPr>
            <w:tcW w:type="dxa" w:w="2880"/>
          </w:tcPr>
          <w:p>
            <w:r>
              <w:t>Flux de CO2 du sol ; activité respiratoire édaphique</w:t>
            </w:r>
          </w:p>
        </w:tc>
      </w:tr>
      <w:tr>
        <w:tc>
          <w:tcPr>
            <w:tcW w:type="dxa" w:w="2880"/>
          </w:tcPr>
          <w:p>
            <w:r>
              <w:t>résilience</w:t>
            </w:r>
          </w:p>
        </w:tc>
        <w:tc>
          <w:tcPr>
            <w:tcW w:type="dxa" w:w="2880"/>
          </w:tcPr>
          <w:p>
            <w:r>
              <w:t>resilience</w:t>
            </w:r>
          </w:p>
        </w:tc>
        <w:tc>
          <w:tcPr>
            <w:tcW w:type="dxa" w:w="2880"/>
          </w:tcPr>
          <w:p>
            <w:r>
              <w:t>maintien d'un potentiel évolutif ; capacité de récupération ; —</w:t>
            </w:r>
          </w:p>
        </w:tc>
      </w:tr>
      <w:tr>
        <w:tc>
          <w:tcPr>
            <w:tcW w:type="dxa" w:w="2880"/>
          </w:tcPr>
          <w:p>
            <w:r>
              <w:t>saturation en bases</w:t>
            </w:r>
          </w:p>
        </w:tc>
        <w:tc>
          <w:tcPr>
            <w:tcW w:type="dxa" w:w="2880"/>
          </w:tcPr>
          <w:p>
            <w:r>
              <w:t>base saturation (V%)</w:t>
            </w:r>
          </w:p>
        </w:tc>
        <w:tc>
          <w:tcPr>
            <w:tcW w:type="dxa" w:w="2880"/>
          </w:tcPr>
          <w:p>
            <w:r/>
          </w:p>
        </w:tc>
      </w:tr>
      <w:tr>
        <w:tc>
          <w:tcPr>
            <w:tcW w:type="dxa" w:w="2880"/>
          </w:tcPr>
          <w:p>
            <w:r>
              <w:t>silicium (Si) — biostimulant</w:t>
            </w:r>
          </w:p>
        </w:tc>
        <w:tc>
          <w:tcPr>
            <w:tcW w:type="dxa" w:w="2880"/>
          </w:tcPr>
          <w:p>
            <w:r>
              <w:t>silicon (Si) — biostimulant</w:t>
            </w:r>
          </w:p>
        </w:tc>
        <w:tc>
          <w:tcPr>
            <w:tcW w:type="dxa" w:w="2880"/>
          </w:tcPr>
          <w:p>
            <w:r>
              <w:t>Si, silice, acide silicique, phytolithes</w:t>
            </w:r>
          </w:p>
        </w:tc>
      </w:tr>
      <w:tr>
        <w:tc>
          <w:tcPr>
            <w:tcW w:type="dxa" w:w="2880"/>
          </w:tcPr>
          <w:p>
            <w:r>
              <w:t>symptomatologie des carences</w:t>
            </w:r>
          </w:p>
        </w:tc>
        <w:tc>
          <w:tcPr>
            <w:tcW w:type="dxa" w:w="2880"/>
          </w:tcPr>
          <w:p>
            <w:r>
              <w:t>nutrient deficiency symptomatology</w:t>
            </w:r>
          </w:p>
        </w:tc>
        <w:tc>
          <w:tcPr>
            <w:tcW w:type="dxa" w:w="2880"/>
          </w:tcPr>
          <w:p>
            <w:r>
              <w:t>diagnostic visuel, sémiologie végétale</w:t>
            </w:r>
          </w:p>
        </w:tc>
      </w:tr>
      <w:tr>
        <w:tc>
          <w:tcPr>
            <w:tcW w:type="dxa" w:w="2880"/>
          </w:tcPr>
          <w:p>
            <w:r>
              <w:t>test Berlese-Tullgren</w:t>
            </w:r>
          </w:p>
        </w:tc>
        <w:tc>
          <w:tcPr>
            <w:tcW w:type="dxa" w:w="2880"/>
          </w:tcPr>
          <w:p>
            <w:r>
              <w:t>Berlese-Tullgren funnel</w:t>
            </w:r>
          </w:p>
        </w:tc>
        <w:tc>
          <w:tcPr>
            <w:tcW w:type="dxa" w:w="2880"/>
          </w:tcPr>
          <w:p>
            <w:r/>
          </w:p>
        </w:tc>
      </w:tr>
      <w:tr>
        <w:tc>
          <w:tcPr>
            <w:tcW w:type="dxa" w:w="2880"/>
          </w:tcPr>
          <w:p>
            <w:r>
              <w:t>test Haney</w:t>
            </w:r>
          </w:p>
        </w:tc>
        <w:tc>
          <w:tcPr>
            <w:tcW w:type="dxa" w:w="2880"/>
          </w:tcPr>
          <w:p>
            <w:r>
              <w:t>Haney soil health test</w:t>
            </w:r>
          </w:p>
        </w:tc>
        <w:tc>
          <w:tcPr>
            <w:tcW w:type="dxa" w:w="2880"/>
          </w:tcPr>
          <w:p>
            <w:r/>
          </w:p>
        </w:tc>
      </w:tr>
      <w:tr>
        <w:tc>
          <w:tcPr>
            <w:tcW w:type="dxa" w:w="2880"/>
          </w:tcPr>
          <w:p>
            <w:r>
              <w:t>test Slake</w:t>
            </w:r>
          </w:p>
        </w:tc>
        <w:tc>
          <w:tcPr>
            <w:tcW w:type="dxa" w:w="2880"/>
          </w:tcPr>
          <w:p>
            <w:r>
              <w:t>slake test</w:t>
            </w:r>
          </w:p>
        </w:tc>
        <w:tc>
          <w:tcPr>
            <w:tcW w:type="dxa" w:w="2880"/>
          </w:tcPr>
          <w:p>
            <w:r/>
          </w:p>
        </w:tc>
      </w:tr>
      <w:tr>
        <w:tc>
          <w:tcPr>
            <w:tcW w:type="dxa" w:w="2880"/>
          </w:tcPr>
          <w:p>
            <w:r>
              <w:t>test bêche</w:t>
            </w:r>
          </w:p>
        </w:tc>
        <w:tc>
          <w:tcPr>
            <w:tcW w:type="dxa" w:w="2880"/>
          </w:tcPr>
          <w:p>
            <w:r>
              <w:t>spade test</w:t>
            </w:r>
          </w:p>
        </w:tc>
        <w:tc>
          <w:tcPr>
            <w:tcW w:type="dxa" w:w="2880"/>
          </w:tcPr>
          <w:p>
            <w:r>
              <w:t>VESS ; test de la bêche ; examen de la structure en blocs</w:t>
            </w:r>
          </w:p>
        </w:tc>
      </w:tr>
      <w:tr>
        <w:tc>
          <w:tcPr>
            <w:tcW w:type="dxa" w:w="2880"/>
          </w:tcPr>
          <w:p>
            <w:r>
              <w:t>test de sédimentation (test bocal)</w:t>
            </w:r>
          </w:p>
        </w:tc>
        <w:tc>
          <w:tcPr>
            <w:tcW w:type="dxa" w:w="2880"/>
          </w:tcPr>
          <w:p>
            <w:r>
              <w:t>jar sedimentation test</w:t>
            </w:r>
          </w:p>
        </w:tc>
        <w:tc>
          <w:tcPr>
            <w:tcW w:type="dxa" w:w="2880"/>
          </w:tcPr>
          <w:p>
            <w:r>
              <w:t>Test du bocal ; sédimentation simplifiée</w:t>
            </w:r>
          </w:p>
        </w:tc>
      </w:tr>
      <w:tr>
        <w:tc>
          <w:tcPr>
            <w:tcW w:type="dxa" w:w="2880"/>
          </w:tcPr>
          <w:p>
            <w:r>
              <w:t>test ficelle GEPPA</w:t>
            </w:r>
          </w:p>
        </w:tc>
        <w:tc>
          <w:tcPr>
            <w:tcW w:type="dxa" w:w="2880"/>
          </w:tcPr>
          <w:p>
            <w:r>
              <w:t>GEPPA ribbon test</w:t>
            </w:r>
          </w:p>
        </w:tc>
        <w:tc>
          <w:tcPr>
            <w:tcW w:type="dxa" w:w="2880"/>
          </w:tcPr>
          <w:p>
            <w:r>
              <w:t>test ficelle · test du boudin ; Test du ruban ; détermination de la texture au toucher</w:t>
            </w:r>
          </w:p>
        </w:tc>
      </w:tr>
      <w:tr>
        <w:tc>
          <w:tcPr>
            <w:tcW w:type="dxa" w:w="2880"/>
          </w:tcPr>
          <w:p>
            <w:r>
              <w:t>texture</w:t>
            </w:r>
          </w:p>
        </w:tc>
        <w:tc>
          <w:tcPr>
            <w:tcW w:type="dxa" w:w="2880"/>
          </w:tcPr>
          <w:p>
            <w:r>
              <w:t>texture</w:t>
            </w:r>
          </w:p>
        </w:tc>
        <w:tc>
          <w:tcPr>
            <w:tcW w:type="dxa" w:w="2880"/>
          </w:tcPr>
          <w:p>
            <w:r>
              <w:t>Granulométrie du sol ; composition physique</w:t>
            </w:r>
          </w:p>
        </w:tc>
      </w:tr>
      <w:tr>
        <w:tc>
          <w:tcPr>
            <w:tcW w:type="dxa" w:w="2880"/>
          </w:tcPr>
          <w:p>
            <w:r>
              <w:t>télédétection agricole</w:t>
            </w:r>
          </w:p>
        </w:tc>
        <w:tc>
          <w:tcPr>
            <w:tcW w:type="dxa" w:w="2880"/>
          </w:tcPr>
          <w:p>
            <w:r>
              <w:t>agricultural remote sensing</w:t>
            </w:r>
          </w:p>
        </w:tc>
        <w:tc>
          <w:tcPr>
            <w:tcW w:type="dxa" w:w="2880"/>
          </w:tcPr>
          <w:p>
            <w:r>
              <w:t>observation spatiale des cultures</w:t>
            </w:r>
          </w:p>
        </w:tc>
      </w:tr>
      <w:tr>
        <w:tc>
          <w:tcPr>
            <w:tcW w:type="dxa" w:w="2880"/>
          </w:tcPr>
          <w:p>
            <w:r>
              <w:t>wollastonite</w:t>
            </w:r>
          </w:p>
        </w:tc>
        <w:tc>
          <w:tcPr>
            <w:tcW w:type="dxa" w:w="2880"/>
          </w:tcPr>
          <w:p>
            <w:r>
              <w:t>wollastonite</w:t>
            </w:r>
          </w:p>
        </w:tc>
        <w:tc>
          <w:tcPr>
            <w:tcW w:type="dxa" w:w="2880"/>
          </w:tcPr>
          <w:p>
            <w:r/>
          </w:p>
        </w:tc>
      </w:tr>
      <w:tr>
        <w:tc>
          <w:tcPr>
            <w:tcW w:type="dxa" w:w="2880"/>
          </w:tcPr>
          <w:p>
            <w:r>
              <w:t>γ-hydroxybutyrate</w:t>
            </w:r>
          </w:p>
        </w:tc>
        <w:tc>
          <w:tcPr>
            <w:tcW w:type="dxa" w:w="2880"/>
          </w:tcPr>
          <w:p>
            <w:r>
              <w:t>γ-hydroxybutyrate (GHB)</w:t>
            </w:r>
          </w:p>
        </w:tc>
        <w:tc>
          <w:tcPr>
            <w:tcW w:type="dxa" w:w="2880"/>
          </w:tcPr>
          <w:p>
            <w:r/>
          </w:p>
        </w:tc>
      </w:tr>
    </w:tbl>
    <w:p/>
    <w:p>
      <w:pPr>
        <w:jc w:val="center"/>
      </w:pPr>
      <w:r>
        <w:rPr>
          <w:color w:val="999999"/>
          <w:sz w:val="18"/>
        </w:rPr>
        <w:t>────────────────────────────────────────</w:t>
      </w:r>
    </w:p>
    <w:p>
      <w:pPr>
        <w:pStyle w:val="Heading1"/>
      </w:pPr>
      <w:r>
        <w:t>Introduction</w:t>
      </w:r>
    </w:p>
    <w:p>
      <w:r>
        <w:t>Mesurer le vivant dans le sol — quels indicateurs, quels seuils, quelles décisions.</w:t>
      </w:r>
    </w:p>
    <w:p/>
    <w:p>
      <w:r>
        <w:t>→ Ratio C/Argile comme PREMIER diagnostic (Husson) : Zone 4 (&lt;12%) → Zone 3 (12-17%) → Zone 2 (17-24%) → Zone 1 (&gt;24%). Détermine TOUT : type couverts, fertilisation, amendements.</w:t>
        <w:br/>
        <w:t>→ Ratio stœchiométrique NPS (Kirkby) : 83N + 20P + 14S par tonne C. Intégrer dans l'arbre de décision — c'est le levier qui fait basculer de l'acquisition vers le rendement.</w:t>
        <w:br/>
        <w:t>→ Relier les 20 tests terrain aux prérequis : eau (infiltration, humidité), structure (bêche, portance, friabilité), chimie (olfactif H₂S, couleur taches), matière organique (respiration, décomposition), biologie (vers de terre, biodiversité), plante (racinaire, couverture).</w:t>
        <w:br/>
        <w:t>→ En Zone 4 : le travail du sol est NÉCESSAIRE (contact MO-argile). En Zone 1 : le travail du sol est DESTRUCTEUR (Fenton, réseau fongique). Pas de dogme — du diagnostic.</w:t>
      </w:r>
    </w:p>
    <w:p>
      <w:r>
        <w:t>Le Diagnostic du sol : Le point de départ quantitatif</w:t>
        <w:br/>
        <w:t>Le diagnostic ne doit pas seulement être descriptif, mais servir de référence (baseline) pour mesurer la régénération.</w:t>
        <w:br/>
        <w:t>Indicateurs sensibles : Pour suivre une transition, il est crucial d'utiliser des indicateurs sensibles aux changements de gestion à court terme. Les indicateurs biologiques, tels que la biomasse microbienne et les activités enzymatiques, sont des mesures précises de la restauration et de la résilience du sol (Rotana et al., 2025).</w:t>
        <w:br/>
        <w:t xml:space="preserve">Cadre de mesure : L'établissement d'une base de référence quantitative via des mesures de végétation et de santé du sol (pH, carbone organique, capacité d'échange cationique) permet de vérifier les résultats régénératifs sur le long terme (Clare, 2024). Des outils comme le "Biofunctool" sont </w:t>
        <w:br/>
        <w:t xml:space="preserve"> Agroforesterie : Complexité et résilience long terme</w:t>
        <w:br/>
        <w:t>L'agroforesterie structure les interactions biotiques et abiotiques dans le temps et l'espace(Salazar, 2021).</w:t>
        <w:br/>
        <w:t>Services écosystémiques : Elle favorise la séquestration du carbone, le maintien de la fertilité et la protection contre l'érosion (Lemanceau et al., 2017). Les résidus ligneux (feuilles, racines, brindilles) produisent un humus qui enrichit durablement la fertilité des sols (Debaeke et al., 2015).</w:t>
        <w:br/>
        <w:t>Résilience climatique : En diversifiant les structures végétales, l'agroforesterie accroît la résilience fonctionnelle face aux changemen</w:t>
      </w:r>
    </w:p>
    <w:p>
      <w:r>
        <w:t xml:space="preserve">§1 Introduction: Cette analyse croise 4 sources complémentaires : 1. Kirkby et al. (2016) — Article fondateur : la stœchiométrie CNPS (C:N:P:S = 100:8:2:1.5) détermine l'efficience d'humification. L'apport de N, P, S </w:t>
        <w:br/>
        <w:t>§2 La formule de Kirkby : stœchiométrie CNPS: les implications pratiques (apport N minéral → plus de C séquestré, pas moins). Données chiffrées de l'article (rendement d'humification avec/sans nutriments). - S4 → P2 : Stœchiométrie CNPS : choix c</w:t>
        <w:br/>
        <w:t xml:space="preserve">§3 Modèle AMG et bilan humique: (minéralisation), les facteurs de contrôle (T°, pH, argile, C:N, bilan hydrique). Résultats de Borderieux : RMSE = 2.6 TC/ha, pas de biais systématique. - S4 → F2 : bilan carbone net et EROI agricole </w:t>
        <w:br/>
        <w:t>§4 Leviers pratiques pour le bilan carbone: - Semis direct : coefficient 75% vs 100% en labour - Couverts végétaux : apport de C racinaire (K1 = 0.4 pour racines) - CIVE : export possible sans dégrader le bilan en semis direct - Ratio MO/argile</w:t>
        <w:br/>
        <w:t>§5 Donnees de reference: - K1 par type de résidu (aérien vs racinaire) - Effet du travail du sol (labour/TCS/SD) - Seuils MO/argile - Ratio CNPS optimal - ISMO des principaux amendements - P1 → S1 : Implications de la texture</w:t>
      </w:r>
    </w:p>
    <w:p>
      <w:r>
        <w:t>§1 Introduction: Croisement de 4 fiches Triple Performance : 1. Agroécologie — Cadre conceptuel, triple approche (science/mouvement/pratique) 2. Régénération des sols — Restauration fertilité, chronoséquence, indicate</w:t>
        <w:br/>
        <w:t>§2 Cadre agroécologique: - P1 → S1 : Implications de la texture sur la CEC et la surface spécifique - P1 → S2 : Les indicateurs PLFA et Chao1 du diagnostic mesurent directement les guildes fonctionnelles de S2 - P1 → S3 : Int</w:t>
        <w:br/>
        <w:t xml:space="preserve">§3 Diagnostic et indicateurs: - P1 → S2 : Les indicateurs PLFA et Chao1 du diagnostic mesurent directement les guildes fonctionnelles de S2 - F2 → P1 : Indicateurs biologiques comme métriques de valorisation du capital sol - P1 → </w:t>
        <w:br/>
        <w:t>§4 Chronoséquence de transition: Données temporelles : combien d'années pour chaque phase ? - S2 → P5 : Ratio copiotrophes/oligotrophes comme indicateur de positionnement sur la chronoséquence de transition - H1 → P5 : Chronoséquence</w:t>
        <w:br/>
        <w:t>§5 Résilience climatique et atténuation: Lien avec la formule de Kirkby et le bilan humique AMG. - P1 → S1 : Implications de la texture sur la CEC et la surface spécifique - P1 → S2 : Les indicateurs PLFA et Chao1 du diagnostic mesurent dire</w:t>
      </w:r>
    </w:p>
    <w:p>
      <w:r>
        <w:t>## 1. Principes du quorum sensing bactérien dans le sol</w:t>
        <w:br/>
        <w:t>Le quorum sensing (QS) désigne le mécanisme de communication intercellulaire par lequel les micro-organismes perçoivent leur densité de population en émettant et en détectant des molécules signal (autoinducteurs). Lorsqu'un seuil critique de concentration est atteint — reflétant une densité cellulaire suffisante (« quorum ») — les bactéries coordonnent l'expression de gènes cibles et déclenchent des comportements collectifs(Bello et al., 2020)</w:t>
        <w:br/>
        <w:t>Dans la rhizosphère, les classes principales de molécules QS sont :</w:t>
        <w:br/>
        <w:t>**Acyl-homosérine lactones (AHLs)** : signaux canoniques des bactéries à Gram négatif (*Pseudomonas*, *Agrobacterium*, *Rhizobium*), impliqués dans la colonisation racinaire, la formation de biofilms et la production de facteurs de virulence(Kanchiswamy et al., 2015)</w:t>
        <w:br/>
        <w:t>**Peptides autoinducteurs** : utilisés préférentiellement par les bactéries à Gram positif (*Bacillus*)(Alum et al., 2025)</w:t>
        <w:br/>
        <w:t>**Autoinducteur-2 (AI-2)** : molécule universelle intra- et interspécifique, facilitant la communication inter-règnes(Xavier, 2018)</w:t>
        <w:br/>
        <w:t>Les comportements régulés par QS incluent la formation de **biofilms protecteurs** à la surface racinaire, la production concertée d'**antibiotiques** destinés à évincer les compétiteurs pathogènes, la **motilité** (swarming), et la synthèse d'**enzymes lytiques** permettant la pénétration des tissus hôtes(Zhu et al., 2023)</w:t>
      </w:r>
    </w:p>
    <w:p>
      <w:r>
        <w:t>## 2. Rhizosphère : zone fonctionnelle de communication chimique(Sibanyoni et al., 2025)</w:t>
        <w:br/>
        <w:t>La rhizosphère constitue la zone du sol immédiatement influencée par l'activité racinaire, caractérisée par une densité microbienne de 10 à 100 fois supérieure à celle du sol massif, où les échanges chimiques entre la plante et son microbiome sont les plus intenses (Violante &amp; Caporale, 2015) Les plantes y libèrent 11 % à 40 % — et parfois jusqu'à 80 % — de leur carbone photosynthétisé sous forme de **rhizodépôts** (exsudats, mucilages, débris cellulaires) (Arndal, 2012; Cheng &amp; Gershenson, 2007)</w:t>
        <w:br/>
        <w:t>Ces exsudats comprennent des sucres, des acides aminés, des acides organiques (malique, citrique, fumarique, succinique) et des métabolites secondaires spécialisés qui agissent en tant qu'**agents chimiotactiques** recrutant des bactéries bénéfiques telles que *Bacillus velezensis* ou *Pseudomonas fluorescens*(Sharma et al., 2020; Sibanyoni et al., 2025) Les acides citriques et fumariques sont des chimioattractants relativement plus puissants, suggérant qu'ils pourraient être les bio-attractants les plus efficaces pour induire la colonisation racinaire (Ma et al., 2021)</w:t>
        <w:br/>
        <w:t>Le recrutement microbien s'opère selon une dynamique moléculaire précise : il débute par l'émission d'homosérines (impliquées dans le quorum-sensing), puis par une exsudation plus importante d'acides aminés et d'acides organiques pour attirer et stabiliser les partenaires(Amy, 2021) Sous carence en P ou N, la plante augmente la sécrétion de **strigolactones** (recrutement des champignons mycorhiziens) (Molefe et al., 2023) et de **flavonoïdes** (induction des gènes *nod* chez les rhizobia)(Kumar et al., 2024) (Ait-El-Mokhtar &amp; Baslam, 2023)</w:t>
      </w:r>
    </w:p>
    <w:p>
      <w:r>
        <w:t>## 3. Interférence végétale avec le quorum sensing (quorum quenching)</w:t>
        <w:br/>
        <w:t>La plante n'est pas un acteur passif de ce dialogue microbien : elle peut activement **perturber le quorum sensing des pathogènes** (quorum quenching) pour se défendre(Li et al., 2020; Tariq &amp; Ahmed, 2023) Les plantes produisent du GABA (acide gamma-aminobutyrique), molécule capable d'inhiber le quorum sensing d'*Agrobacterium tumefaciens* et de réduire sa pathogénicité(Tarkowski et al., 2020) Cette interférence inter-règne constitue une stratégie de défense sophistiquée permettant à l'hôte de manipuler la coordination sociale des communautés bactériennes pathogènes sans exercer de pression de sélection létale.</w:t>
        <w:br/>
        <w:t>Parallèlement, la plante peut exsuder des **composés phénoliques** pour recruter des *Pseudomonas* producteurs de sidérophores en cas de carence en fer(Lurthy, 2020) ou des acides organiques sous stress salin (Liu et al., 2021) (*Limonium sinense*). Le mécanisme **SIREM** (Systemically Induced Root Exudation of Metabolites) montre que la colonisation locale par des rhizobactéries déclenche une exsudation systémique de métabolites protecteurs (acylsucres) dans l'ensemble du système racinaire (Song et al., 2021)</w:t>
      </w:r>
    </w:p>
    <w:p>
      <w:r>
        <w:t>## 4. Biofilms rhizosphériques et continuum signalétique</w:t>
        <w:br/>
        <w:t>Une fois le quorum atteint, les bactéries coordonnent la formation de **biofilms** — communautés structurées enrobées d'une matrice d'exopolysaccharides (EPS) adhérant à la surface racinaire(Saharan et al., 2024) Les biofilms confèrent une protection contre la dessiccation(Parrilli et al., 2022) les antimicrobiens et les prédateurs (protistes)(Amy, 2021) et constituent des **points chauds de transfert horizontal de gènes**(Aminov, 2011) Ils sont également le siège de la production concertée de composés antimicrobiens impliqués dans la suppressivité du sol vis-à-vis des pathogènes telluriques(Backer et al., 2018)</w:t>
        <w:br/>
        <w:t>Le QS s'intègre dans un réseau plus large de **signaux inter-règnes** : composés organiques volatils microbiens (2,3-butanediol, indole) agissant comme hormones à distance(Weisskopf et al., 2021) modulation hormonale par production d'auxines/cytokinines bactériennes(Kudoyarova et al., 2019) et déclenchement de l'**Induced Systemic Resistance** (ISR) par les microbes bénéfiques(Yu et al., 2022) Le cycle de **rhizophagie**(White et al., 2018) illustre aussi ce continuum : les microbes internalisés dans l'espace périplasmique des cellules racinaires subissent une transformation en protoplastes et sont réexpulsés vers la rhizosphère.</w:t>
      </w:r>
    </w:p>
    <w:p>
      <w:r>
        <w:t>## 5. Spécificité hôte-microbe et dynamique temporelle</w:t>
        <w:br/>
        <w:t>La signalisation QS dans la rhizosphère est caractérisée par une spécificité hôte-endophyte marquée : l'efficacité d'un signal — et donc du recrutement qu'il induit — dépend fortement de l'espèce végétale hôte, de la souche microbienne et du génotype végétal(González &amp; Keshavan, 2006; Lyu &amp; Smith, 2022) Cette variabilité explique en partie pourquoi de nombreux stimulants microbiens ne sont pas facilement transposables du laboratoire au terrain. La température et le statut hydrique modulent également fortement ces communications chimiques(Sharma et al., 2024; Tan et al., 2021)</w:t>
        <w:br/>
        <w:t>Le **cycle fonctionnel endophytique** s'appuie sur ces signaux : des exsudats racinaires, des molécules de signalisation et une régulation hormonale coordonnée régulent l'entrée des endophytes dans les tissus végétaux(Collinge et al., 2019) et al., 2024) La colonisation se déroule par **vagues successives**, chacune recrutant des consortiums différents(Deveau et al., 2021)</w:t>
      </w:r>
    </w:p>
    <w:p>
      <w:r>
        <w:t>## 6. Implications agronomiques</w:t>
        <w:br/>
        <w:t>La compréhension du QS ouvre des leviers pour l'agriculture régénératrice :</w:t>
        <w:br/>
        <w:t>**Ingénierie de consortia microbiens** (SynCom) exploitant les signaux QS pour stabiliser des communautés fonctionnelles (Daniel et al., 2024)</w:t>
        <w:br/>
        <w:t>**Bio-intrants** formulés pour optimiser la colonisation racinaire via les signaux chimiotactiques (Amy, 2021)</w:t>
        <w:br/>
        <w:t>**Quorum quenching dirigé** comme stratégie anti-pathogène alternative aux pesticides (Jeyakumar et al., 2024)</w:t>
        <w:br/>
        <w:t>Sélection variétale intégrant la capacité d'exsudation de quorum quenchers(Amy, 2021; Pacheco-Moreno et al., 2024)</w:t>
        <w:br/>
        <w:t>Exploitation de la **signalisation volatile** (COV microbiens : 2,3-butanediol, indole) comme leviers indirects de modulation de la croissance et de l'immunité végétale (Weisskopf et al., 2021)</w:t>
      </w:r>
    </w:p>
    <w:p>
      <w:r>
        <w:t>## Enrichissements</w:t>
      </w:r>
    </w:p>
    <w:p>
      <w:r>
        <w:t>### 1. Diversification des signaux moléculaires</w:t>
        <w:br/>
        <w:t>Bien que votre document identifie les AHL et l'AI-2, il omet une classe de signaux de plus en plus étudiée dans la rhizosphère : les peptides autoinducteurs (AIPs)(Boban et al., 2023)</w:t>
        <w:br/>
        <w:t>Signaux d'acides gras : En plus des AHL, des molécules comme l'acide cis-2-dodécénoïque agissent comme des autoinducteurs régulant les activités physiologiques microbiennes (Feng, 2022)</w:t>
        <w:br/>
        <w:t>Complexité structurelle des AHL : La spécificité de la communication dépend de la longueur de la chaîne acyle, de son degré de saturation et des substitutions sur le troisième carbone, ce qui influence la reconnaissance du signal (Rosier &amp; Bais, 2022)</w:t>
      </w:r>
    </w:p>
    <w:p>
      <w:r>
        <w:t>### 2. Mécanismes de perception par la plante</w:t>
        <w:br/>
        <w:t>Les plantes "perçoivent" les signaux environnementaux par l'intermédiaire de mécanismes moléculaires spécifiques. La perception microbienne, par exemple, implique la détection de motifs moléculaires associés aux microbes (MAMPs/PAMPs), tels que les facteurs NOD ou les fragments de chitine, par des récepteurs spécifiques à la surface cellulaire, comme les récepteurs à reconnaissance de motifs (PRR) ou les récepteurs transmembranaires de type LysM-RLK(Gout et al., 2012; Marchat, 2015)</w:t>
        <w:br/>
        <w:t>Récepteurs spécifiques : La perception des AHL (comme le 3-oxo-C6-HL) par les plantes est médiée par des récepteurs couplés aux protéines G, spécifiquement GCR1 et GPA1 (Jalmi, 2020)</w:t>
        <w:br/>
        <w:t>Réponses induites : Cette perception déclenche des changements significatifs, notamment le remodelage du cytosquelette, la synthèse hormonale et la régulation des gènes de défense (Jalmi, 2020)</w:t>
      </w:r>
    </w:p>
    <w:p>
      <w:r>
        <w:t>### 3. Fonctions métaboliques avancées des biofilms</w:t>
        <w:br/>
        <w:t>La section sur les biofilms se concentre sur la protection, mais néglige leur supériorité métabolique par rapport aux formes planctoniques :</w:t>
        <w:br/>
        <w:t>Efficacité accrue : Les biofilms de rhizobactéries (ex. : Pseudomonas, Bacillus) présentent des taux de production d'ammoniac, d'auxine et une activité nitrogénase nettement supérieurs à ceux des cellules isolées (Backer et al., 2018)</w:t>
        <w:br/>
        <w:t>Accumulation de nutriments : La matrice de substances polymères extracellulaires agit comme un échangeur anionique et cationique, permettant de concentrer des nutriments même lorsqu'ils sont présents à de très faibles concentrations dans le sol (Parrilli et al., 2022)</w:t>
      </w:r>
    </w:p>
    <w:p>
      <w:r>
        <w:t>### 4. Nouvelles voies d'interférence</w:t>
        <w:br/>
        <w:t>Outre le GABA, d'autres molécules d'interférence méritent d'être présentées pour illustrer la complexité des défenses végétales :</w:t>
        <w:br/>
        <w:t>Gamma-hydroxybutyrate : Sous conditions de stress, Arabidopsis thaliana peut accumuler et exsuder du GHB, qui inhibe spécifiquement le quorum sensing d'Agrobacterium tumefaciens (Amy, 2021)</w:t>
        <w:br/>
        <w:t>Risques écologiques : L'application de stratégies de quorum quenching (enzymatique ou synthétique) présente un défi majeur : le risque d'effets hors-cible sur les communautés microbiennes bénéfiques de la rhizosphère (Jeyakumar et al., 2024)</w:t>
      </w:r>
    </w:p>
    <w:p>
      <w:r>
        <w:t>### 5. Influence des facteurs abiotiques sur le signal</w:t>
        <w:br/>
        <w:t>Le document évoque la dynamique temporelle, mais l'impact des variables environnementales sur la "fidélité" du signal est peu exploré :</w:t>
        <w:br/>
        <w:t>Température : Une hausse de température peut stimuler directement la production de signaux QS et d'enzymes de dégradation chez des pathogènes comme Pectobacterium atrosepticum, aggravant le développement des maladies (Sharma et al., 2024)</w:t>
        <w:br/>
        <w:t>Disponibilité en eau : Le stress hydrique entraîne la formation de conditions oligotrophes dans le sol (Tan et al., 2021)</w:t>
      </w:r>
    </w:p>
    <w:p>
      <w:r>
        <w:t>### 6. Lacunes méthodologiques et perspectives</w:t>
        <w:br/>
        <w:t>Pour renforcer la section sur les implications agronomiques, il est crucial de mentionner les verrous technologiques actuels :</w:t>
        <w:br/>
        <w:t>Besoin de validation : Il existe un manque de validation des molécules clés impliquées in situ. L'interprétation des communications chimiques nécessite désormais l'intégration de la multi-omique, de l'édition génomique et de l'intelligence artificielle pour améliorer la résolution des interactions (Li et al., 2025)</w:t>
        <w:br/>
        <w:t>Coût énergétique : Le déclenchement des processus régulés par le QS est coûteux en énergie pour les bactéries ; ces changements ne sont avantageux que lorsqu'une densité critique est atteinte, un aspect à considérer lors de la formulation de bio-intrants (Bello et al., 2020)</w:t>
        <w:br/>
        <w:t>References</w:t>
        <w:br/>
        <w:t>Ait-El-Mokhtar, M., &amp; Baslam, M. (2023). Holo-omic applications to unveil microbiome shaping sustainable horticultural production. Frontiers in Sustainable Food Systems, 7. https://doi.org/10.3389/fsufs.2023.1151367</w:t>
        <w:br/>
        <w:t>Alum, E. U., Gulumbe, B. H., Izah, S. C., Uti, D. E., Aja, P. M., Igwenyi, I. O., &amp; Offor, C. E. (2025). Natural product-based inhibitors of quorum sensing: A novel approach to combat antibiotic resistance. Biochemistry and Biophysics Reports, 43, 102111. https://doi.org/10.1016/j.bbrep.2025.102111</w:t>
        <w:br/>
        <w:t>Aminov, R. (2011). Horizontal Gene Exchange in Environmental Microbiota. Frontiers in Microbiology, 2. https://doi.org/10.3389/fmicb.2011.00158</w:t>
        <w:br/>
        <w:t>Amy, C. (2021). Optimizing nitrogen and phosphorus nutrition of rapeseed for a sustainable production through the utilization of biointrants, improving phytobiome functioning. HAL (Le Centre Pour La Communication Scientifique Directe). https://tel.archives-ouvertes.fr/tel-03609145</w:t>
        <w:br/>
        <w:t>Arndal, M. F. (2012). Root dynamics and below ground carbon input in a changing climate. Research Portal Denmark, 164. https://local.forskningsportal.dk/local/dki-cgi/ws/cris-link?src=ku&amp;id=ku-558b4d90-24a4-46b5-8200-45f2ac390d5c&amp;ti=Root%20dynamics%20and%20below%20ground%20carbon%20input%20in%20a%20changing%20climate</w:t>
        <w:br/>
        <w:t>Backer, R., Rokem, J. S., Ilangumaran, G., Lamont, J. R., Praslickova, D., Ricci, E., Subramanian, S., &amp; Smith, D. L. (2018). Plant Growth-Promoting Rhizobacteria: Context, Mechanisms of Action, and Roadmap to Commercialization of Biostimulants for Sustainable Agriculture [Review of Plant Growth-Promoting Rhizobacteria: Context, Mechanisms of Action, and Roadmap to Commercialization of Biostimulants for Sustainable Agriculture]. Frontiers in Plant Science, 9. Frontiers Media. https://doi.org/10.3389/fpls.2018.01473</w:t>
        <w:br/>
        <w:t>Bello, F. D., Zorzi, M., Aigotti, R., Medica, D., Fanelli, V., Cantaluppi, V., Amante, E., Orlandi, V. T., &amp; Medana, C. (2020). Targeted and untargeted quantification of quorum sensing signalling molecules in bacterial cultures and biological samples via HPLC-TQ MS techniques. Analytical and Bioanalytical Chemistry, 413(3), 853. https://doi.org/10.1007/s00216-020-03040-6</w:t>
        <w:br/>
        <w:t>Boban, T., Nadar, S., &amp; Tauro, S. (2023). Breaking down bacterial communication: a review of quorum quenching agents [Review of Breaking down bacterial communication: a review of quorum quenching agents]. Future Journal of Pharmaceutical Sciences, 9(1). Springer Science+Business Media. https://doi.org/10.1186/s43094-023-00526-9</w:t>
        <w:br/>
        <w:t>Cheng, W., &amp; Gershenson, A. (2007). Carbon Fluxes in the Rhizosphere. In Elsevier eBooks (p. 31). Elsevier BV. https://doi.org/10.1016/b978-012088775-0/50004-5</w:t>
        <w:br/>
        <w:t>Collinge, D. B., Jørgensen, H. J. L., Latz, M., Manzotti, A., Ntana, F., Rojas, E. C., Jensen, B., Hodkinson, T. R., Doohan, F. M., Saunders, M., &amp; Murphy, B. R. (2019). Searching for Novel Fungal Biological Control Agents for Plant Disease Control Among Endophytes. In Cambridge University Press eBooks (p. 25). Cambridge University Press. https://doi.org/10.1017/9781108607667.003</w:t>
        <w:br/>
        <w:t>Daniel, R., Huang, R., Kravchik, V., &amp; Geva‐Zatorsky, N. (2024). Engineering Coupled Consortia-Based Biosensors using Incoherent Feedforward Loops. Research Square (Research Square). https://doi.org/10.21203/rs.3.rs-4011356/v1</w:t>
        <w:br/>
        <w:t>Deveau, A., Fracchia, F., &amp; Veneault‐Fourrey, C. (2021). Le microbiote des racines de peuplier : dynamique, régulation et interactions. HAL (Le Centre Pour La Communication Scientifique Directe). https://hal.inrae.fr/hal-03460823</w:t>
        <w:br/>
        <w:t>Feng, Y. (2022). Interactions among Rhizosphere Microorganisms, Mechanisms and Potential Application in Phytoremediation. SHS Web of Conferences, 144, 1003. https://doi.org/10.1051/shsconf/202214401003</w:t>
        <w:br/>
        <w:t>González, J. E. G., &amp; Keshavan, N. D. (2006). Messing with Bacterial Quorum Sensing [Review of Messing with Bacterial Quorum Sensing]. Microbiology and Molecular Biology Reviews, 70(4), 859. American Society for Microbiology. https://doi.org/10.1128/mmbr.00002-06</w:t>
        <w:br/>
        <w:t>Gout, L., Ducasse, A., Walker, A. S. A. S., Gautier, A., Amselem, J., &amp; Neema, C. (2012). Structure des populations de Botrytis cinerea à l’échelle mondiale avec des marqueurs SNP neutres et sélectionnés. HAL (Le Centre Pour La Communication Scientifique Directe). https://hal.archives-ouvertes.fr/hal-01019381</w:t>
        <w:br/>
        <w:t>Jalmi, S. K. (2020). Rhizosphere signaling nurturing phyto-microbiome niche. Tropical Plant Research, 7(2), 522. https://doi.org/10.22271/tpr.2020.v7.i2.064</w:t>
        <w:br/>
        <w:t>Jeyakumar, S. P., Tamilvendan, K., Kumar, M. K. P., Reddy, Y. N., Earanna, N., &amp; Biplab, D. E. (2024). Stopping not till the rot rots: Quorum quenching as a biocontrol method for soft rot control in agriculture. Biocatalysis and Agricultural Biotechnology, 57, 103098. https://doi.org/10.1016/j.bcab.2024.103098</w:t>
        <w:br/>
        <w:t>Kanchiswamy, C. N., Malnoy, M., &amp; Maffei, M. E. (2015). Chemical diversity of microbial volatiles and their potential for plant growth and productivity [Review of Chemical diversity of microbial volatiles and their potential for plant growth and productivity]. Frontiers in Plant Science, 6. Frontiers Media. https://doi.org/10.3389/fpls.2015.00151</w:t>
        <w:br/>
        <w:t>Kudoyarova, G. R., Arkhipova, T., Korshunova, T., Бакаева, М. Д., Логинов, О. Н., &amp; Dodd, I. C. (2019). Phytohormone Mediation of Interactions Between Plants and Non-Symbiotic Growth Promoting Bacteria Under Edaphic Stresses [Review of Phytohormone Mediation of Interactions Between Plants and Non-Symbiotic Growth Promoting Bacteria Under Edaphic Stresses]. Frontiers in Plant Science, 10. Frontiers Media. https://doi.org/10.3389/fpls.2019.01368</w:t>
        <w:br/>
        <w:t>Kumar, G. A., Kumar, S., Bhardwaj, R., Swapnil, P., Meena, M., Seth, C. S., &amp; Yadav, A. (2024). Recent advancements in multifaceted roles of flavonoids in plant–rhizomicrobiome interactions. Frontiers in Plant Science, 14. https://doi.org/10.3389/fpls.2023.1297706</w:t>
        <w:br/>
        <w:t>Li, H., Hu, Y., Chen, S., Gafforov, Y., Wang, M., &amp; Liu, X. (2025). Harnessing chemical communication in plant–microbiome and intra-microbiome interactions. Journal of Zhejiang University SCIENCE B, 26(10), 923. https://doi.org/10.1631/jzus.b2500099</w:t>
        <w:br/>
        <w:t>Li, Q., Wu, Y., Wang, J., Yang, B., Chen, J., Wu, H., Zhang, Z., Lu, C., Lin, W., &amp; Wu, L. (2020). Linking Short-Chain N-Acyl Homoserine Lactone-Mediated Quorum Sensing and Replant Disease: A Case Study of Rehmannia glutinosa. Frontiers in Plant Science, 11. https://doi.org/10.3389/fpls.2020.00787</w:t>
        <w:br/>
        <w:t>Liu, H., Lu, X., Li, Z., Tian, C., &amp; Song, J. (2021). The role of root‐associated microbes in growth stimulation of plants under saline conditions. Land Degradation and Development, 32(13), 3471. https://doi.org/10.1002/ldr.3955</w:t>
        <w:br/>
        <w:t>Lurthy, T. (2020). Pisum sativum – Pseudomonas interactions : influence on iron nutrution, growth and immunity of the host plant. HAL (Le Centre Pour La Communication Scientifique Directe). https://theses.hal.science/tel-02885113</w:t>
        <w:br/>
        <w:t>Lyu, D., &amp; Smith, D. L. (2022). The root signals in rhizospheric inter-organismal communications [Review of The root signals in rhizospheric inter-organismal communications]. Frontiers in Plant Science, 13. Frontiers Media. https://doi.org/10.3389/fpls.2022.1064058</w:t>
        <w:br/>
        <w:t>Ma, L., Wang, W.-Q., Shi, R., Zhang, X., Li, X., Yang, Y.-S., &amp; Mo, M. H. (2021). Effects of organic acids on the chemotaxis profiles and biocontrol traits of antagonistic bacterial endophytes against root-rot disease in Panax notoginseng. Antonie van Leeuwenhoek, 114(11), 1771. https://doi.org/10.1007/s10482-021-01636-1</w:t>
        <w:br/>
        <w:t>Marchat, S. (2015). Caractérisation de la diffusion de la laminarine, polysaccharide inducteur de résistance contre le mildiou, dans des tissus foliaires de vigne. HAL (Le Centre Pour La Communication Scientifique Directe). https://hal.inrae.fr/hal-02793866</w:t>
        <w:br/>
        <w:t>Molefe, R. R., Amoo, A. E., &amp; Babalola, O. O. (2023). Communication between plant roots and the soil microbiome; involvement in plant growth and development. Symbiosis, 90(3), 231. https://doi.org/10.1007/s13199-023-00941-9</w:t>
        <w:br/>
        <w:t>Pacheco-Moreno, A., Bollmann‐Giolai, A., Chandra, G., Brett, P. J., Davies, J. N. P., Thornton, O. R., Poole, P. S., Ramachandran, V. K., Brown, J. K. M., Nicholson, P., Ridout, C., deVos, S., &amp; Malone, J. G. (2024). The genotype of barley cultivars influences multiple aspects of their associated microbiota via differential root exudate secretion. PLoS Biology, 22(4). https://doi.org/10.1371/journal.pbio.3002232</w:t>
        <w:br/>
        <w:t>Parrilli, E., Tutino, M. L., &amp; Marino, G. (2022). Biofilm as an adaptation strategy to extreme conditions. Rendiconti Lincei. Scienze Fisiche e Naturali, 33(3), 527. https://doi.org/10.1007/s12210-022-01083-8</w:t>
        <w:br/>
        <w:t>Rosier, A., &amp; Bais, H. P. (2022). Visualizing bacterial quorum sensing and quorum quenching interaction on Medicago roots. Research Square (Research Square). https://doi.org/10.21203/rs.3.rs-1742677/v1</w:t>
        <w:br/>
        <w:t>Saharan, B. S., Beniwal, N., &amp; Duhan, J. S. (2024). From formulation to function: A detailed review of microbial biofilms and their polymer-based extracellular substances. The Microbe, 5, 100194. https://doi.org/10.1016/j.microb.2024.100194</w:t>
        <w:br/>
        <w:t>Sena, L., Mica, E., Valè, G., Vaccino, P., &amp; Pecchioni, N. (2024). Exploring the potential of endophyte-plant interactions for improving crop sustainable yields in a changing climate. Frontiers in Plant Science, 15. https://doi.org/10.3389/fpls.2024.1349401</w:t>
        <w:br/>
        <w:t>Sharma, M., Saleh, D., Charron, J., &amp; Jabaji, S. (2020). A Crosstalk Between Brachypodium Root Exudates, Organic Acids, and Bacillus velezensis B26, a Growth Promoting Bacterium. Frontiers in Microbiology, 11. https://doi.org/10.3389/fmicb.2020.575578</w:t>
        <w:br/>
        <w:t>Sharma, V., Mohammed, S. A., Devi, N., Vats, G., Tuli, H. S., Saini, A. K., Walia, Y., Dhir, S., &amp; Singh, B. (2024). Unveiling the dynamic relationship of viruses and/or symbiotic bacteria with plant resilience in abiotic stress. Stress Biology, 4(1). https://doi.org/10.1007/s44154-023-00126-w</w:t>
        <w:br/>
        <w:t>Sibanyoni, N. R., Mmotla, K., Mashabela, M. D., Piater, L. A., Kerchev, P., &amp; Mhlongo, M. I. (2025). Chemical dialogues in the rhizosphere: Metabolomics perspectives on plant defence and microbial interactions. Plant and Soil, 518(1), 577. https://doi.org/10.1007/s11104-025-08010-4</w:t>
        <w:br/>
        <w:t>Song, C., Jin, K., &amp; Raaijmakers, J. M. (2021). Designing a home for beneficial plant microbiomes [Review of Designing a home for beneficial plant microbiomes]. Current Opinion in Plant Biology, 62, 102025. Elsevier BV. https://doi.org/10.1016/j.pbi.2021.102025</w:t>
        <w:br/>
        <w:t>Tan, B., Li, Y., Liu, T., Tan, X., He, Y., You, X., Leong, K. H., Liu, C., &amp; Li, L. (2021). Response of Plant Rhizosphere Microenvironment to Water Management in Soil- and Substrate-Based Controlled Environment Agriculture (CEA) Systems: A Review [Review of Response of Plant Rhizosphere Microenvironment to Water Management in Soil- and Substrate-Based Controlled Environment Agriculture (CEA) Systems: A Review]. Frontiers in Plant Science, 12. Frontiers Media. https://doi.org/10.3389/fpls.2021.691651</w:t>
        <w:br/>
        <w:t>Tariq, A., &amp; Ahmed, A. (2023). Bacterial Symbiotic Signaling in Modulating Plant-Rhizobacterial Interactions. In IntechOpen eBooks. IntechOpen. https://doi.org/10.5772/intechopen.109915</w:t>
        <w:br/>
        <w:t>Tarkowski, Ł. P., Signorelli, S., &amp; Höfte, M. (2020). γ‐Aminobutyric acid and related amino acids in plant immune responses: Emerging mechanisms of action [Review of γ‐Aminobutyric acid and related amino acids in plant immune responses: Emerging mechanisms of action]. Plant Cell &amp; Environment, 43(5), 1103. Wiley. https://doi.org/10.1111/pce.13734</w:t>
        <w:br/>
        <w:t>Violante, A., &amp; Caporale, A. G. (2015). Biogeochemical processes at soil-root interface. Journal of Soil Science and Plant Nutrition, 0. https://doi.org/10.4067/s0718-95162015005000038</w:t>
        <w:br/>
        <w:t>Weisskopf, L., Schulz, S., &amp; Garbeva, P. (2021). Microbial volatile organic compounds in intra-kingdom and inter-kingdom interactions [Review of Microbial volatile organic compounds in intra-kingdom and inter-kingdom interactions]. Nature Reviews Microbiology, 19(6), 391. Nature Portfolio. https://doi.org/10.1038/s41579-020-00508-1</w:t>
        <w:br/>
        <w:t>White, J. F., Kingsley, K. L., Verma, S., &amp; Kowalski, K. P. (2018). Rhizophagy Cycle: An Oxidative Process in Plants for Nutrient Extraction from Symbiotic Microbes. Microorganisms, 6(3), 95. https://doi.org/10.3390/microorganisms6030095</w:t>
        <w:br/>
        <w:t>Xavier, K. B. (2018). Bacterial interspecies quorum sensing in the mammalian gut microbiota [Review of Bacterial interspecies quorum sensing in the mammalian gut microbiota]. Comptes Rendus Biologies, 341(5), 297. Elsevier BV. https://doi.org/10.1016/j.crvi.2018.03.006</w:t>
        <w:br/>
        <w:t>Yu, Y., Gui, Y., Li, Z., Jiang, C., Guo, J.-H., &amp; Niu, D. (2022). Induced Systemic Resistance for Improving Plant Immunity by Beneficial Microbes. Plants, 11(3), 386. https://doi.org/10.3390/plants11030386</w:t>
        <w:br/>
        <w:t>Zhu, X., Chen, W., Bhatt, K., Zhou, Z., Huang, Y., Zhang, L., Chen, S., &amp; Wang, J. (2023). Innovative microbial disease biocontrol strategies mediated by quorum quenching and their multifaceted applications: A review [Review of Innovative microbial disease biocontrol strategies mediated by quorum quenching and their multifaceted applications: A review]. Frontiers in Plant Science, 13. Frontiers Media. https://doi.org/10.3389/fpls.2022.1063393</w:t>
      </w:r>
    </w:p>
    <w:p>
      <w:pPr>
        <w:jc w:val="center"/>
      </w:pPr>
      <w:r>
        <w:rPr>
          <w:color w:val="999999"/>
          <w:sz w:val="18"/>
        </w:rPr>
        <w:t>────────────────────────────────────────</w:t>
      </w:r>
    </w:p>
    <w:p>
      <w:pPr>
        <w:pStyle w:val="Heading1"/>
      </w:pPr>
      <w:r>
        <w:t>I. La texture comme fondation</w:t>
      </w:r>
    </w:p>
    <w:p>
      <w:pPr>
        <w:pStyle w:val="Heading2"/>
      </w:pPr>
      <w:r>
        <w:t>1.1 Classification GEPPA et implications agronomiques</w:t>
      </w:r>
    </w:p>
    <w:p>
      <w:r>
        <w:t>La texture (argile, limon, sable) est le paramètre fondamental non modifiable du sol. Le triangle GEPPA guide les choix agronomiques. Le ratio C/Argile indique le degré de saturation en carbone.</w:t>
      </w:r>
    </w:p>
    <w:p/>
    <w:p>
      <w:r>
        <w:t>→ La classification GEPPA (Geppa 1963) croise texture (sable/limon/argile) et calcaire. Elle détermine le POTENTIEL agronomique du sol — mais pas son ÉTAT biologique. Un sol sablo-limoneux peut être excellent ou catastrophique selon sa biologie.</w:t>
        <w:br/>
        <w:t>→ Les implications agronomiques de la texture sont directes : sol argileux = rétention eau + CEC élevée mais risque de compaction. Sol sableux = drainage + aération mais CEC faible et lessivage. Sol limoneux = battance + croûte de surface.</w:t>
        <w:br/>
        <w:t>→ La texture est FIXE (on ne change pas le sable en argile). Mais la structure est MODIFIABLE par la biologie : un sol sableux avec 4% de MO et un réseau mycorhizien fonctionnel peut stocker plus d'eau qu'un sol argileux compacté à 1% de MO.</w:t>
      </w:r>
    </w:p>
    <w:p>
      <w:pPr>
        <w:jc w:val="center"/>
      </w:pPr>
      <w:r>
        <w:rPr>
          <w:color w:val="999999"/>
          <w:sz w:val="18"/>
        </w:rPr>
        <w:t>────────────────────────────────────────</w:t>
      </w:r>
    </w:p>
    <w:p>
      <w:pPr>
        <w:pStyle w:val="Heading2"/>
      </w:pPr>
      <w:r>
        <w:t>1.2 Lire le profil bêché : taches, odeurs, couleurs</w:t>
      </w:r>
    </w:p>
    <w:p>
      <w:r>
        <w:t>Le profil bêché (mini-fosse) révèle en 20 minutes l'histoire du sol : horizons, compaction, taches d'oxydo-réduction, odeurs, présence de vie. C'est le diagnostic le plus informatif et le moins cher.</w:t>
      </w:r>
    </w:p>
    <w:p/>
    <w:p>
      <w:r>
        <w:t>→ Le profil bêché (profil cultural) est le diagnostic le plus INFORMATIF : structure (grumeleux vs massif), couleur (noir = MO, gris-bleu = engorgement, ocre = oxydes Fe), odeur (géosmine = actinomycètes sains, H₂S = anaérobiose toxique), racines (profondes = sol structuré).</w:t>
        <w:br/>
        <w:t>→ Les taches rouille (oxydes Fe³⁺) + les taches gris-bleu (Fe²⁺) = alternance redox. Ce pattern indique un sol avec des problèmes de drainage et des risques de réaction de Fenton (destruction de MO par radicaux OH•).</w:t>
        <w:br/>
        <w:t>→ L'odeur est un diagnostic IMMÉDIAT : terre fraîche (géosmine, actinomycètes) = sol sain. Moisi (champignons anaérobies) = sol compacté. Œuf pourri (H₂S) = sol engorgé, sulfato-réduction active. Pas d'odeur = sol mort (pas de vie microbienne active).</w:t>
      </w:r>
    </w:p>
    <w:p>
      <w:pPr>
        <w:jc w:val="center"/>
      </w:pPr>
      <w:r>
        <w:rPr>
          <w:color w:val="999999"/>
          <w:sz w:val="18"/>
        </w:rPr>
        <w:t>────────────────────────────────────────</w:t>
      </w:r>
    </w:p>
    <w:p>
      <w:pPr>
        <w:pStyle w:val="Heading1"/>
      </w:pPr>
      <w:r>
        <w:t>II. Tests terrain</w:t>
      </w:r>
    </w:p>
    <w:p>
      <w:pPr>
        <w:pStyle w:val="Heading2"/>
      </w:pPr>
      <w:r>
        <w:t>2.1 VESS et comptage faune</w:t>
      </w:r>
    </w:p>
    <w:p>
      <w:r>
        <w:t>Le VESS (Visual Evaluation of Soil Structure) est un score visuel standardisé. Le comptage de faune (vers, collemboles) donne un indicateur biologique direct.</w:t>
      </w:r>
    </w:p>
    <w:p/>
    <w:p>
      <w:r>
        <w:t>→ Le VESS (Visual Evaluation of Soil Structure) : score visuel de 1 (grumeleux, friable, abondance de racines et de vers) à 5 (massif, plastique, pas de vie). Score 1-2 = sol fonctionnel, 3 = attention, 4-5 = dégradé.</w:t>
        <w:br/>
        <w:t>→ Le comptage faune (vers de terre surtout) est un indicateur INTÉGRATEUR : 10-30 vers/bloc de 20×20×20 cm = sol sain. &lt; 5 = sol dégradé. Le comptage distingue les 3 guildes (épigés/endogés/anéciques) pour un diagnostic plus fin.</w:t>
        <w:br/>
        <w:t>→ VESS + comptage faune = diagnostic terrain complet en 30 min, sans labo, sans coût. C'est la base du diagnostic initial avant toute analyse de laboratoire.</w:t>
      </w:r>
    </w:p>
    <w:p>
      <w:pPr>
        <w:jc w:val="center"/>
      </w:pPr>
      <w:r>
        <w:rPr>
          <w:color w:val="999999"/>
          <w:sz w:val="18"/>
        </w:rPr>
        <w:t>────────────────────────────────────────</w:t>
      </w:r>
    </w:p>
    <w:p>
      <w:pPr>
        <w:pStyle w:val="Heading2"/>
      </w:pPr>
      <w:r>
        <w:t>2.2 Test d'infiltration, Solvita et entonnoir de Baermann</w:t>
      </w:r>
    </w:p>
    <w:p>
      <w:r>
        <w:t>Le test d'infiltration (temps pour infiltrer 1L), le Solvita (respiration CO2) et l'entonnoir de Baermann (nématodes) complètent le diagnostic terrain avec des mesures quantitatives.</w:t>
      </w:r>
    </w:p>
    <w:p/>
    <w:p>
      <w:r>
        <w:t>→ Le test d'infiltration (anneau simple) mesure le Ksat apparent : &gt; 50 mm/h = sol perméable. 10-50 mm/h = intermédiaire. &lt; 10 mm/h = sol compacté ou battant. Un sol non-labouré avec galeries d'anéciques atteint 100-300 mm/h.</w:t>
        <w:br/>
        <w:t>→ Le test Solvita mesure le CO₂ dégagé par un échantillon en 24h = respiration microbienne = activité biologique. Score Solvita &lt; 20 = sol peu actif. &gt; 40 = sol très actif. Corrèle avec la biomasse microbienne (ATP, PLFA).</w:t>
        <w:br/>
        <w:t>→ L'entonnoir de Baermann pour les nématodes : diagnostic de la structure du réseau trophique. Dominance bactérivores = sol en reconstruction. Présence de prédateurs = sol mature. Indice de maturité de Bongers &gt; 3 = bonne santé.</w:t>
      </w:r>
    </w:p>
    <w:p>
      <w:pPr>
        <w:jc w:val="center"/>
      </w:pPr>
      <w:r>
        <w:rPr>
          <w:color w:val="999999"/>
          <w:sz w:val="18"/>
        </w:rPr>
        <w:t>────────────────────────────────────────</w:t>
      </w:r>
    </w:p>
    <w:p>
      <w:pPr>
        <w:pStyle w:val="Heading2"/>
      </w:pPr>
      <w:r>
        <w:t>2.3 Plantes bio-indicatrices et lecture du profil</w:t>
      </w:r>
    </w:p>
    <w:p>
      <w:r>
        <w:t>Les plantes bio-indicatrices révèlent les conditions du sol : compaction (chiendent), anaérobiose (prêle), excès d'azote (ortie). La lecture du profil racinaire complète le diagnostic.</w:t>
      </w:r>
    </w:p>
    <w:p/>
    <w:p>
      <w:r>
        <w:t>→ Les plantes bio-indicatrices (Ducerf) révèlent l'histoire du sol : pissenlit = compaction superficielle. Rumex = engorgement. Ortie = excès d'azote. Chardon = sol travaillé en profondeur. La flore spontanée est un diagnostic GRATUIT.</w:t>
        <w:br/>
        <w:t>→ La lecture du profil = croiser le profil bêché (structure) + les plantes bio-indicatrices (histoire) + la faune (fonctionnement). Les trois approches se complètent et se valident mutuellement.</w:t>
        <w:br/>
        <w:t>→ Les plantes ne mentent pas : elles poussent là où les conditions leur conviennent. Un envahissement de rumex signale un problème de drainage quel que soit le résultat de l'analyse chimique.</w:t>
      </w:r>
    </w:p>
    <w:p>
      <w:pPr>
        <w:jc w:val="center"/>
      </w:pPr>
      <w:r>
        <w:rPr>
          <w:color w:val="999999"/>
          <w:sz w:val="18"/>
        </w:rPr>
        <w:t>────────────────────────────────────────</w:t>
      </w:r>
    </w:p>
    <w:p>
      <w:pPr>
        <w:pStyle w:val="Heading1"/>
      </w:pPr>
      <w:r>
        <w:t>III. Analyses laboratoire</w:t>
      </w:r>
    </w:p>
    <w:p>
      <w:pPr>
        <w:pStyle w:val="Heading2"/>
      </w:pPr>
      <w:r>
        <w:t>3.1 Analyses biologiques : biomasse ATP, PLFA, métabarcoding</w:t>
      </w:r>
    </w:p>
    <w:p>
      <w:r>
        <w:t>Les analyses biologiques quantifient la vie du sol : biomasse microbienne (ATP), profil PLFA (ratio F/B, guildes), métabarcoding (diversité complète). Lien avec le microbiome du sol (indicateurs PLFA et Chao1).</w:t>
      </w:r>
    </w:p>
    <w:p/>
    <w:p>
      <w:r>
        <w:t>→ La biomasse microbienne (ATP, chloroforme-fumigation) mesure la QUANTITÉ de vie dans le sol : 200-400 µg C/g = sol actif. &lt; 100 µg C/g = sol appauvri. &gt; 600 µg C/g = sol forestier.</w:t>
        <w:br/>
        <w:t>→ Le PLFA (phospholipides d'acides gras) distingue les groupes microbiens VIVANTS : bactéries Gram+, Gram-, champignons, actinomycètes. Il donne le ratio F/B et la composition des guildes fonctionnelles.</w:t>
        <w:br/>
        <w:t>→ Le métabarcoding (16S rRNA bactérien, ITS fongique) donne la diversité taxonomique complète (5000-30000 espèces/g). C'est le « scan complet » du sol mais il ne distingue pas vivant/mort et coûte 150-300 €/échantillon.</w:t>
        <w:br/>
        <w:t>→ ENRICHISSEMENT NOTES (critique métabarcoding comme outil agronomique) : 7 limites techniques du métabarcoding 16S/ITS en agronomie appliquée : (1) identité taxonomique sans FONCTION — savoir quels microbes sont là ne dit pas ce qu'ils FONT. (2) Transfert latéral de gènes — un même marqueur 16S peut appartenir à des organismes aux fonctions totalement différentes. (3) Résolution au niveau espèce insuffisante — exemple Fusarium : la plupart des souches sont des décomposeurs bénéfiques, un rapport « haut Fusarium » déclenche un traitement fongicide contre-productif. (4) Biais de primers — certains groupes sont sur/sous-représentés. (5) Bases de données incomplètes. (6) ADN = nécromasse + biomasse active (morts + vivants mélangés). (7) Pas de corrélation démontrée avec les tests Haney (santé du sol fonctionnelle).</w:t>
        <w:br/>
        <w:t>→ Hiérarchie des outils recommandée : test Haney &gt; PLFA &gt; tests enzymatiques &gt; tests d'agrégation/infiltration &gt; microscopie &gt; métagénomique shotgun (recherche). Le métabarcoding a sa place en recherche écologique mais PAS comme outil de décision agronomique.</w:t>
      </w:r>
    </w:p>
    <w:p>
      <w:pPr>
        <w:jc w:val="center"/>
      </w:pPr>
      <w:r>
        <w:rPr>
          <w:color w:val="999999"/>
          <w:sz w:val="18"/>
        </w:rPr>
        <w:t>────────────────────────────────────────</w:t>
      </w:r>
    </w:p>
    <w:p>
      <w:pPr>
        <w:pStyle w:val="Heading2"/>
      </w:pPr>
      <w:r>
        <w:t>3.2 Analyses physico-chimiques</w:t>
      </w:r>
    </w:p>
    <w:p>
      <w:r>
        <w:t>Les analyses physico-chimiques classiques : granulométrie, CEC, pH, MO, N total, P Olsen, K échangeable. Leur interprétation dans le contexte du sol vivant.</w:t>
      </w:r>
    </w:p>
    <w:p>
      <w:r>
        <w:t>Analyses physico-chimiques pour le pilotage des amendements : CEC effective (au pH reel, pas potentielle a pH 7), saturation en bases V% (&gt; 80% = sol bien sature, &lt; 50% = risque acidite/toxicite Al), ratio Ca/Mg (desequilibre → dispersion argiles meme si pH correct). Charge Dispersive Nette (CDN, Rengasamy et al. 2016) integre Na+Mg+K — plus precis que Ca/Mg seul. Vigilance analytique post-amendement roches broyees : surestimation CEC par dissolution particules non alterees.</w:t>
      </w:r>
    </w:p>
    <w:p/>
    <w:p>
      <w:r>
        <w:t>→ Les analyses physico-chimiques standard : pH (cible 6.0-7.0), CEC (méq/100g, dépend texture + MO), MO (% Walkley-Black), P assimilable (Olsen ou Mehlich), K/Ca/Mg échangeables. Coût : 50-100 €/échantillon.</w:t>
        <w:br/>
        <w:t>→ Le ratio C/N est un indicateur de la vitesse de minéralisation : C/N &lt; 10 = minéralisation rapide (MO instable). C/N 10-15 = équilibre. C/N &gt; 20 = immobilisation (« faim d'azote »). Cible pour un sol cultivé : 10-12.</w:t>
        <w:br/>
        <w:t>→ Le taux de saturation en bases (V%) indique la « santé chimique » : V &gt; 70% = sol bien pourvu. V &lt; 50% = acidité problématique. Le chaulage augmente V et Ca, ce qui stabilise les agrégats (ponts calciques).</w:t>
        <w:br/>
        <w:t>→ ENRICHISSEMENT NOTES (gestion pH zone racinaire sols alcalins — stratégie « Punch + Power ») :</w:t>
        <w:br/>
        <w:t>→ Punch chimique : soufre élémentaire en BANDES (pas en broadcast) pour créer des micro-zones acides ciblées au semis. Tourbe de sphaigne pH 3.0-4.5 en poches d'acidité localisées. Stratégie « Basing » : traiter le rang, PAS l'inter-rang. Concentrer l'investissement dans la « Profit Zone » 3-6 pouces autour de la racine.</w:t>
        <w:br/>
        <w:t>→ Power biologique : ferments lactofermentés (SPICE Compost, EM, LAB, JMS, IMO) comme sources d'acides organiques. Substances humiques NON-alcalines : lignite et léonhardite BRUTS — éviter l'acide humique extrait au KOH (extraction alcaline = artefact, cohérent avec Lehmann &amp; Kleber 2015 dans S4).</w:t>
        <w:br/>
        <w:t>→ L'antagonisme bicarbonate est le mécanisme principal de verrouillage des nutriments en sol alcalin.</w:t>
      </w:r>
    </w:p>
    <w:p>
      <w:pPr>
        <w:jc w:val="center"/>
      </w:pPr>
      <w:r>
        <w:rPr>
          <w:color w:val="999999"/>
          <w:sz w:val="18"/>
        </w:rPr>
        <w:t>────────────────────────────────────────</w:t>
      </w:r>
    </w:p>
    <w:p>
      <w:pPr>
        <w:pStyle w:val="Heading2"/>
      </w:pPr>
      <w:r>
        <w:t>3.3 Analyses avancées : Eh, métabarcoding, métagénomique</w:t>
      </w:r>
    </w:p>
    <w:p>
      <w:r>
        <w:t>Les analyses avancées : mesure du Eh (potentiel redox), métabarcoding ITS/16S, métagénomique fonctionnelle. Ces outils révèlent le fonctionnement du sol, pas seulement sa composition.</w:t>
      </w:r>
    </w:p>
    <w:p/>
    <w:p>
      <w:r>
        <w:t>→ La mesure du Eh (potentiel redox) est l'analyse la plus SOUS-UTILISÉE en agriculture. Deux électrodes (Pt + référence) à 15 et 30 cm donnent l'état redox en temps réel. Coût matériel : 200-500 €, utilisable en routine.</w:t>
        <w:br/>
        <w:t>→ Le métabarcoding (séquençage ADN) révèle 90% de la diversité microbienne invisible en culture. Mais il détecte l'ADN mort (jusqu'à 2 ans de persistance) → surestimation de la diversité active. Le combiner avec le PLFA (vivant uniquement).</w:t>
        <w:br/>
        <w:t>→ La métagénomique (séquençage des fonctions, pas des espèces) révèle le POTENTIEL fonctionnel du sol : gènes de fixation N, de solubilisation P, de biocontrôle. C'est le futur du diagnostic mais encore cher (500-1000 €/échantillon).</w:t>
      </w:r>
    </w:p>
    <w:p>
      <w:pPr>
        <w:jc w:val="center"/>
      </w:pPr>
      <w:r>
        <w:rPr>
          <w:color w:val="999999"/>
          <w:sz w:val="18"/>
        </w:rPr>
        <w:t>────────────────────────────────────────</w:t>
      </w:r>
    </w:p>
    <w:p>
      <w:pPr>
        <w:pStyle w:val="Heading1"/>
      </w:pPr>
      <w:r>
        <w:t>IV. De l'analyse à la décision</w:t>
      </w:r>
    </w:p>
    <w:p>
      <w:pPr>
        <w:pStyle w:val="Heading2"/>
      </w:pPr>
      <w:r>
        <w:t>4.1 Arbre de décision du diagnostic</w:t>
      </w:r>
    </w:p>
    <w:p>
      <w:r>
        <w:t>L'arbre de décision intègre tous les indicateurs en un diagnostic opérationnel : de la texture à la prescription. Chaque branche mène à une recommandation pratique.</w:t>
      </w:r>
    </w:p>
    <w:p>
      <w:r>
        <w:t>Arbre de decision amendement mineral selon la texture :</w:t>
        <w:br/>
        <w:t>- Sableux (S, SS) : marnage ou bentonite + basalte 6-10 t/ha pour relever le plafond MAOM</w:t>
        <w:br/>
        <w:t>- Sablo-limoneux (SL, LS) : MO prioritaire, marnage si plafond bloquant</w:t>
        <w:br/>
        <w:t>- Limoneux (L) : MO + couverture permanente, chaulage si pH &lt; 6</w:t>
        <w:br/>
        <w:t>- Argileux (A, AL) : chaulage pour floculation, gypse si sodique</w:t>
        <w:br/>
        <w:t>- Calcaire (&gt; 15% CaCO3) : ne PAS chauler, corrections Mg/S/Bo/Zn</w:t>
        <w:br/>
        <w:t>Criteres de pilotage : pH, V%, CEC effective, ratio MO/argile, ratio Ca/Mg, CDN.</w:t>
      </w:r>
    </w:p>
    <w:p/>
    <w:p>
      <w:r>
        <w:t>→ L'arbre de décision commence par le ratio C/Argile (Husson) : Zone 4 (&lt;1/13) → reconstruction urgente (MO incorporée + argile si sableux). Zone 3 (1/13-1/10) → transition. Zone 2 (1/10-1/8) → faux plat. Zone 1 (&gt;1/8) → entretien.</w:t>
        <w:br/>
        <w:t>→ Deuxième branche : le ratio stœchiométrique NPS de Kirkby (83N + 20P + 14S par tC). Si l'un des trois est limitant, la séquestration de carbone est BLOQUÉE. La correction NPS est souvent le levier le plus rapide.</w:t>
        <w:br/>
        <w:t>→ Troisième branche : état structural (VESS), état biologique (faune + F/B), état hydrique (infiltration + RU). L'arbre converge vers 3 types de recommandation : restructurer (compacté), biologiser (appauvri), optimiser (fonctionnel).</w:t>
        <w:br/>
        <w:t>→ ENRICHISSEMENT NOTES (buffet minéral libre-choix comme outil diagnostic fourrager) : Si les bovins « frappent » un minéral au buffet, cela diagnostique une carence dans le fourrage. Boucle de rétroaction : diagnostic par le bétail → amendement foliaire du paddock suivant 7-21 jours avant l'arrivée des vaches → chélation par hydrolysat protéique DIY.</w:t>
        <w:br/>
        <w:t>→ Recette hydrolysat « Gillespie-Style » : 10 kg source protéique + 10 L LAB + 1 kg sucre brun dans baril 50L, 4-8 semaines sous airlock, pH &lt; 4.2 pour sécurité pathogène. Conservation : +5% acide phosphorique en poudre.</w:t>
        <w:br/>
        <w:t>→ Application : 0.5% hydrolysat + minéral déficient prédissous, foliaire par temps humide. Résultat : Brix fourrager plus élevé, meilleure fonction ruminale, réduction massive du coût du buffet minéral (foliaire = 1-10% du coût minéral).</w:t>
      </w:r>
    </w:p>
    <w:p>
      <w:pPr>
        <w:jc w:val="center"/>
      </w:pPr>
      <w:r>
        <w:rPr>
          <w:color w:val="999999"/>
          <w:sz w:val="18"/>
        </w:rPr>
        <w:t>────────────────────────────────────────</w:t>
      </w:r>
    </w:p>
    <w:p>
      <w:pPr>
        <w:pStyle w:val="Heading2"/>
      </w:pPr>
      <w:r>
        <w:t>4.2 Tableau de bord de suivi sur 5 ans</w:t>
      </w:r>
    </w:p>
    <w:p>
      <w:r>
        <w:t>Le suivi sur 5 ans permet de mesurer la trajectoire de régénération. Les indicateurs à suivre : MO, ratio F/B, infiltration, vers de terre, rendement, densité nutritionnelle.</w:t>
      </w:r>
    </w:p>
    <w:p/>
    <w:p>
      <w:r>
        <w:t>→ Le tableau de bord sur 5 ans suit 8 indicateurs : (1) MO % (2) ratio C/Argile (3) Ksat (4) VESS (5) comptage faune (6) ratio F/B (7) rendement (8) coût intrants. Mesure annuelle en même saison, même profondeur.</w:t>
        <w:br/>
        <w:t>→ La trajectoire attendue en transition : année 1-2 baisse rendement + hausse MO modeste. Année 3-4 faux plat (Husson Zone 2). Année 5+ rendement remonte, intrants chutent, tous les indicateurs biologiques en hausse.</w:t>
        <w:br/>
        <w:t>→ Le tableau de bord est la PREUVE de la transition : il montre que la baisse de rendement initiale est un investissement, pas une perte. Il rassure l'agriculteur et convainc le banquier.</w:t>
      </w:r>
    </w:p>
    <w:p>
      <w:pPr>
        <w:jc w:val="center"/>
      </w:pPr>
      <w:r>
        <w:rPr>
          <w:color w:val="999999"/>
          <w:sz w:val="18"/>
        </w:rPr>
        <w:t>────────────────────────────────────────</w:t>
      </w:r>
    </w:p>
    <w:p>
      <w:pPr>
        <w:pStyle w:val="Heading1"/>
      </w:pPr>
      <w:r>
        <w:t>Conclusion</w:t>
      </w:r>
    </w:p>
    <w:p>
      <w:r>
        <w:t>Ce document couvre 10 sections organisées autour de 4 chapitres : I. La texture comme fondation, II. Tests terrain, III. Analyses laboratoire, IV. De l'analyse à la décision. La conclusion doit synthétiser les mécanismes clés et ouvrir sur les perspectives pratiques ou scientifiques.</w:t>
      </w:r>
    </w:p>
    <w:p>
      <w:r>
        <w:rPr>
          <w:i/>
          <w:color w:val="707070"/>
        </w:rPr>
        <w:t>Le diagnostic est le premier acte de la régénération. Synthétiser : terrain → labo → arbre de décision → action → suivi. Le sol raconte son histoire à qui sait le lire.</w:t>
      </w:r>
    </w:p>
    <w:p>
      <w:r>
        <w:br w:type="page"/>
      </w:r>
    </w:p>
    <w:p>
      <w:pPr>
        <w:pStyle w:val="Heading1"/>
      </w:pPr>
      <w:r>
        <w:t>Annexes</w:t>
      </w:r>
    </w:p>
    <w:p>
      <w:pPr>
        <w:pStyle w:val="Heading2"/>
      </w:pPr>
      <w:r>
        <w:t>Renvois inter-documents (5)</w:t>
      </w:r>
    </w:p>
    <w:p>
      <w:r>
        <w:t>→ III · Voir H3 §II : Ratio F/B du sol comme proxy de la qualité nutritionnelle potentielle des récoltes</w:t>
      </w:r>
    </w:p>
    <w:p>
      <w:r>
        <w:t>→ document · Voir P5 : diagnostic adapté au maraîchage</w:t>
      </w:r>
    </w:p>
    <w:p>
      <w:r>
        <w:t>→ I · Voir S1 §II : Implications de la texture sur la CEC et la surface spécifique</w:t>
      </w:r>
    </w:p>
    <w:p>
      <w:r>
        <w:t>→ document · Voir S2 : Les indicateurs PLFA et Chao1 du diagnostic mesurent directement les guildes fonctionnelles de S2</w:t>
      </w:r>
    </w:p>
    <w:p>
      <w:r>
        <w:t>→ III · Voir S3 §IV : Interprétation agronomique du ratio F/B dans le contexte de la succession écologique fongique</w:t>
      </w:r>
    </w:p>
    <w:p>
      <w:pPr>
        <w:pStyle w:val="Heading2"/>
      </w:pPr>
      <w:r>
        <w:t>Sources (9)</w:t>
      </w:r>
    </w:p>
    <w:p>
      <w:r>
        <w:rPr>
          <w:sz w:val="18"/>
        </w:rPr>
        <w:t>Ait-El-Mokhtar &amp; Baslam (2023).   [à pousser dans Zotero]</w:t>
      </w:r>
    </w:p>
    <w:p>
      <w:r>
        <w:rPr>
          <w:sz w:val="18"/>
        </w:rPr>
        <w:t>Aminov (2011).   [à pousser dans Zotero]</w:t>
      </w:r>
    </w:p>
    <w:p>
      <w:r>
        <w:rPr>
          <w:sz w:val="18"/>
        </w:rPr>
        <w:t>Amy (2021). Optimizing nitrogen and phosphorus nutrition of rapeseed for a sustainable production through the utilization of biointrants, improving phytobiome functioning — HAL (Le Centre pour la Communication Scientifique Directe) · https://tel.archives-ouvertes.fr/tel-03609145</w:t>
      </w:r>
    </w:p>
    <w:p>
      <w:r>
        <w:rPr>
          <w:sz w:val="18"/>
        </w:rPr>
        <w:t>Jalmi (2020).   [à pousser dans Zotero]</w:t>
      </w:r>
    </w:p>
    <w:p>
      <w:r>
        <w:rPr>
          <w:sz w:val="18"/>
        </w:rPr>
        <w:t>Kebede et al. (2022). EPF endophytic potential and larvicidal efficacy — maize — Psyche: A Journal of Entomology · DOI: 10.1155/2022/3879183  [à pousser dans Zotero]</w:t>
      </w:r>
    </w:p>
    <w:p>
      <w:r>
        <w:rPr>
          <w:sz w:val="18"/>
        </w:rPr>
        <w:t>Lurthy (2020).   [à pousser dans Zotero]</w:t>
      </w:r>
    </w:p>
    <w:p>
      <w:r>
        <w:rPr>
          <w:sz w:val="18"/>
        </w:rPr>
        <w:t>Rosier &amp; Bais (2022).   [à pousser dans Zotero]</w:t>
      </w:r>
    </w:p>
    <w:p>
      <w:r>
        <w:rPr>
          <w:sz w:val="18"/>
        </w:rPr>
        <w:t>Violante &amp; Caporale (2015).   [à pousser dans Zotero]</w:t>
      </w:r>
    </w:p>
    <w:p>
      <w:r>
        <w:rPr>
          <w:sz w:val="18"/>
        </w:rPr>
        <w:t>Xavier (2018).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