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Agriculture de Conservation des Sols</w:t>
      </w:r>
    </w:p>
    <w:p>
      <w:pPr>
        <w:pStyle w:val="Heading1"/>
      </w:pPr>
      <w:r>
        <w:t>Termes canoniques (53)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FR</w:t>
            </w:r>
          </w:p>
        </w:tc>
        <w:tc>
          <w:tcPr>
            <w:tcW w:type="dxa" w:w="2880"/>
          </w:tcPr>
          <w:p>
            <w:r>
              <w:t>EN</w:t>
            </w:r>
          </w:p>
        </w:tc>
        <w:tc>
          <w:tcPr>
            <w:tcW w:type="dxa" w:w="2880"/>
          </w:tcPr>
          <w:p>
            <w:r>
              <w:t>Synonymes FR</w:t>
            </w:r>
          </w:p>
        </w:tc>
      </w:tr>
      <w:tr>
        <w:tc>
          <w:tcPr>
            <w:tcW w:type="dxa" w:w="2880"/>
          </w:tcPr>
          <w:p>
            <w:r>
              <w:t>ACS</w:t>
            </w:r>
          </w:p>
        </w:tc>
        <w:tc>
          <w:tcPr>
            <w:tcW w:type="dxa" w:w="2880"/>
          </w:tcPr>
          <w:p>
            <w:r>
              <w:t>conservation agriculture (CA)</w:t>
            </w:r>
          </w:p>
        </w:tc>
        <w:tc>
          <w:tcPr>
            <w:tcW w:type="dxa" w:w="2880"/>
          </w:tcPr>
          <w:p>
            <w:r>
              <w:t>agriculture de conservation des sols ; Agriculture de Conservation</w:t>
            </w:r>
          </w:p>
        </w:tc>
      </w:tr>
      <w:tr>
        <w:tc>
          <w:tcPr>
            <w:tcW w:type="dxa" w:w="2880"/>
          </w:tcPr>
          <w:p>
            <w:r>
              <w:t>Accepteur d'électrons</w:t>
            </w:r>
          </w:p>
        </w:tc>
        <w:tc>
          <w:tcPr>
            <w:tcW w:type="dxa" w:w="2880"/>
          </w:tcPr>
          <w:p>
            <w:r>
              <w:t>Electron acceptor</w:t>
            </w:r>
          </w:p>
        </w:tc>
        <w:tc>
          <w:tcPr>
            <w:tcW w:type="dxa" w:w="2880"/>
          </w:tcPr>
          <w:p>
            <w:r/>
          </w:p>
        </w:tc>
      </w:tr>
      <w:tr>
        <w:tc>
          <w:tcPr>
            <w:tcW w:type="dxa" w:w="2880"/>
          </w:tcPr>
          <w:p>
            <w:r>
              <w:t>Agriculture de Conservation des Sols</w:t>
            </w:r>
          </w:p>
        </w:tc>
        <w:tc>
          <w:tcPr>
            <w:tcW w:type="dxa" w:w="2880"/>
          </w:tcPr>
          <w:p>
            <w:r>
              <w:t>Conservation Agriculture</w:t>
            </w:r>
          </w:p>
        </w:tc>
        <w:tc>
          <w:tcPr>
            <w:tcW w:type="dxa" w:w="2880"/>
          </w:tcPr>
          <w:p>
            <w:r>
              <w:t>ACS ; agriculture de protection des sols</w:t>
            </w:r>
          </w:p>
        </w:tc>
      </w:tr>
      <w:tr>
        <w:tc>
          <w:tcPr>
            <w:tcW w:type="dxa" w:w="2880"/>
          </w:tcPr>
          <w:p>
            <w:r>
              <w:t>Allocation C photosynthétique aux exsudats</w:t>
            </w:r>
          </w:p>
        </w:tc>
        <w:tc>
          <w:tcPr>
            <w:tcW w:type="dxa" w:w="2880"/>
          </w:tcPr>
          <w:p>
            <w:r>
              <w:t>photosynthetic carbon allocation to root exudates</w:t>
            </w:r>
          </w:p>
        </w:tc>
        <w:tc>
          <w:tcPr>
            <w:tcW w:type="dxa" w:w="2880"/>
          </w:tcPr>
          <w:p>
            <w:r>
              <w:t>rhizodéposition active · allocation carbonée racinaire ; transfert de carbone récent vers la rhizosphère</w:t>
            </w:r>
          </w:p>
        </w:tc>
      </w:tr>
      <w:tr>
        <w:tc>
          <w:tcPr>
            <w:tcW w:type="dxa" w:w="2880"/>
          </w:tcPr>
          <w:p>
            <w:r>
              <w:t>Bandes Fleuries et Zones de Biodiversité</w:t>
            </w:r>
          </w:p>
        </w:tc>
        <w:tc>
          <w:tcPr>
            <w:tcW w:type="dxa" w:w="2880"/>
          </w:tcPr>
          <w:p>
            <w:r>
              <w:t>Flower Strips and Biodiversity Zones</w:t>
            </w:r>
          </w:p>
        </w:tc>
        <w:tc>
          <w:tcPr>
            <w:tcW w:type="dxa" w:w="2880"/>
          </w:tcPr>
          <w:p>
            <w:r>
              <w:t>infrastructures agroécologiques ; zones de régulation écologique ; bandes enherbées ; bandes enherbées fleuries ; zones tampon de biodiversité</w:t>
            </w:r>
          </w:p>
        </w:tc>
      </w:tr>
      <w:tr>
        <w:tc>
          <w:tcPr>
            <w:tcW w:type="dxa" w:w="2880"/>
          </w:tcPr>
          <w:p>
            <w:r>
              <w:t>Bio-inoculants et Extraits Fermentés (JMS / LiFoFer)</w:t>
            </w:r>
          </w:p>
        </w:tc>
        <w:tc>
          <w:tcPr>
            <w:tcW w:type="dxa" w:w="2880"/>
          </w:tcPr>
          <w:p>
            <w:r>
              <w:t>Bio-inoculants and Fermented Extracts (FPJ / LiFoFer)</w:t>
            </w:r>
          </w:p>
        </w:tc>
        <w:tc>
          <w:tcPr>
            <w:tcW w:type="dxa" w:w="2880"/>
          </w:tcPr>
          <w:p>
            <w:r>
              <w:t>biostimulants microbiens ; extraits fermentés de litière ; solution microbienne JADAM</w:t>
            </w:r>
          </w:p>
        </w:tc>
      </w:tr>
      <w:tr>
        <w:tc>
          <w:tcPr>
            <w:tcW w:type="dxa" w:w="2880"/>
          </w:tcPr>
          <w:p>
            <w:r>
              <w:t>Biomasse annuelle</w:t>
            </w:r>
          </w:p>
        </w:tc>
        <w:tc>
          <w:tcPr>
            <w:tcW w:type="dxa" w:w="2880"/>
          </w:tcPr>
          <w:p>
            <w:r>
              <w:t>Annual Biomass</w:t>
            </w:r>
          </w:p>
        </w:tc>
        <w:tc>
          <w:tcPr>
            <w:tcW w:type="dxa" w:w="2880"/>
          </w:tcPr>
          <w:p>
            <w:r>
              <w:t>production de matière sèche annuelle ; biomasse végétale totale ; production primaire annuelle</w:t>
            </w:r>
          </w:p>
        </w:tc>
      </w:tr>
      <w:tr>
        <w:tc>
          <w:tcPr>
            <w:tcW w:type="dxa" w:w="2880"/>
          </w:tcPr>
          <w:p>
            <w:r>
              <w:t>Brix fourrager</w:t>
            </w:r>
          </w:p>
        </w:tc>
        <w:tc>
          <w:tcPr>
            <w:tcW w:type="dxa" w:w="2880"/>
          </w:tcPr>
          <w:p>
            <w:r>
              <w:t>forage Brix</w:t>
            </w:r>
          </w:p>
        </w:tc>
        <w:tc>
          <w:tcPr>
            <w:tcW w:type="dxa" w:w="2880"/>
          </w:tcPr>
          <w:p>
            <w:r/>
          </w:p>
        </w:tc>
      </w:tr>
      <w:tr>
        <w:tc>
          <w:tcPr>
            <w:tcW w:type="dxa" w:w="2880"/>
          </w:tcPr>
          <w:p>
            <w:r>
              <w:t>CIVE</w:t>
            </w:r>
          </w:p>
        </w:tc>
        <w:tc>
          <w:tcPr>
            <w:tcW w:type="dxa" w:w="2880"/>
          </w:tcPr>
          <w:p>
            <w:r>
              <w:t>energy biomass catch crops</w:t>
            </w:r>
          </w:p>
        </w:tc>
        <w:tc>
          <w:tcPr>
            <w:tcW w:type="dxa" w:w="2880"/>
          </w:tcPr>
          <w:p>
            <w:r>
              <w:t>culture intermédiaire à vocation énergétique</w:t>
            </w:r>
          </w:p>
        </w:tc>
      </w:tr>
      <w:tr>
        <w:tc>
          <w:tcPr>
            <w:tcW w:type="dxa" w:w="2880"/>
          </w:tcPr>
          <w:p>
            <w:r>
              <w:t>Chaîne 1 — Photosynthèse → Immunité intestinale</w:t>
            </w:r>
          </w:p>
        </w:tc>
        <w:tc>
          <w:tcPr>
            <w:tcW w:type="dxa" w:w="2880"/>
          </w:tcPr>
          <w:p>
            <w:r>
              <w:t>Chain 1 — Cover crop photosynthesis to gut immunity</w:t>
            </w:r>
          </w:p>
        </w:tc>
        <w:tc>
          <w:tcPr>
            <w:tcW w:type="dxa" w:w="2880"/>
          </w:tcPr>
          <w:p>
            <w:r>
              <w:t>aucun (concept d'intégration One Health) ; continuum plante-intestin</w:t>
            </w:r>
          </w:p>
        </w:tc>
      </w:tr>
      <w:tr>
        <w:tc>
          <w:tcPr>
            <w:tcW w:type="dxa" w:w="2880"/>
          </w:tcPr>
          <w:p>
            <w:r>
              <w:t>Chaîne 6 — Diversité des couverts → Résilience immunitaire</w:t>
            </w:r>
          </w:p>
        </w:tc>
        <w:tc>
          <w:tcPr>
            <w:tcW w:type="dxa" w:w="2880"/>
          </w:tcPr>
          <w:p>
            <w:r>
              <w:t>Chain 6 — Cover crop diversity to immune resilience</w:t>
            </w:r>
          </w:p>
        </w:tc>
        <w:tc>
          <w:tcPr>
            <w:tcW w:type="dxa" w:w="2880"/>
          </w:tcPr>
          <w:p>
            <w:r>
              <w:t>aucun (concept de cascade agroécologique) ; résilience biotique par la diversité</w:t>
            </w:r>
          </w:p>
        </w:tc>
      </w:tr>
      <w:tr>
        <w:tc>
          <w:tcPr>
            <w:tcW w:type="dxa" w:w="2880"/>
          </w:tcPr>
          <w:p>
            <w:r>
              <w:t>Couvert végétal multi-espèces</w:t>
            </w:r>
          </w:p>
        </w:tc>
        <w:tc>
          <w:tcPr>
            <w:tcW w:type="dxa" w:w="2880"/>
          </w:tcPr>
          <w:p>
            <w:r>
              <w:t>Multi-species cover crop</w:t>
            </w:r>
          </w:p>
        </w:tc>
        <w:tc>
          <w:tcPr>
            <w:tcW w:type="dxa" w:w="2880"/>
          </w:tcPr>
          <w:p>
            <w:r>
              <w:t>Mélange de couverts</w:t>
            </w:r>
          </w:p>
        </w:tc>
      </w:tr>
      <w:tr>
        <w:tc>
          <w:tcPr>
            <w:tcW w:type="dxa" w:w="2880"/>
          </w:tcPr>
          <w:p>
            <w:r>
              <w:t>Faim d'azote</w:t>
            </w:r>
          </w:p>
        </w:tc>
        <w:tc>
          <w:tcPr>
            <w:tcW w:type="dxa" w:w="2880"/>
          </w:tcPr>
          <w:p>
            <w:r>
              <w:t>nitrogen immobilization</w:t>
            </w:r>
          </w:p>
        </w:tc>
        <w:tc>
          <w:tcPr>
            <w:tcW w:type="dxa" w:w="2880"/>
          </w:tcPr>
          <w:p>
            <w:r>
              <w:t>immobilisation de l'azote ; organisation microbienne de l'azote</w:t>
            </w:r>
          </w:p>
        </w:tc>
      </w:tr>
      <w:tr>
        <w:tc>
          <w:tcPr>
            <w:tcW w:type="dxa" w:w="2880"/>
          </w:tcPr>
          <w:p>
            <w:r>
              <w:t>Indice d’Aire Foliaire</w:t>
            </w:r>
          </w:p>
        </w:tc>
        <w:tc>
          <w:tcPr>
            <w:tcW w:type="dxa" w:w="2880"/>
          </w:tcPr>
          <w:p>
            <w:r>
              <w:t>Leaf Area Index (LAI)</w:t>
            </w:r>
          </w:p>
        </w:tc>
        <w:tc>
          <w:tcPr>
            <w:tcW w:type="dxa" w:w="2880"/>
          </w:tcPr>
          <w:p>
            <w:r>
              <w:t>IAF ; surface foliaire spécifique</w:t>
            </w:r>
          </w:p>
        </w:tc>
      </w:tr>
      <w:tr>
        <w:tc>
          <w:tcPr>
            <w:tcW w:type="dxa" w:w="2880"/>
          </w:tcPr>
          <w:p>
            <w:r>
              <w:t>Microniche anoxique</w:t>
            </w:r>
          </w:p>
        </w:tc>
        <w:tc>
          <w:tcPr>
            <w:tcW w:type="dxa" w:w="2880"/>
          </w:tcPr>
          <w:p>
            <w:r>
              <w:t>Anaerobic microsite</w:t>
            </w:r>
          </w:p>
        </w:tc>
        <w:tc>
          <w:tcPr>
            <w:tcW w:type="dxa" w:w="2880"/>
          </w:tcPr>
          <w:p>
            <w:r/>
          </w:p>
        </w:tc>
      </w:tr>
      <w:tr>
        <w:tc>
          <w:tcPr>
            <w:tcW w:type="dxa" w:w="2880"/>
          </w:tcPr>
          <w:p>
            <w:r>
              <w:t>Perte radiale d'oxygène</w:t>
            </w:r>
          </w:p>
        </w:tc>
        <w:tc>
          <w:tcPr>
            <w:tcW w:type="dxa" w:w="2880"/>
          </w:tcPr>
          <w:p>
            <w:r>
              <w:t>Radial oxygen loss (ROL)</w:t>
            </w:r>
          </w:p>
        </w:tc>
        <w:tc>
          <w:tcPr>
            <w:tcW w:type="dxa" w:w="2880"/>
          </w:tcPr>
          <w:p>
            <w:r/>
          </w:p>
        </w:tc>
      </w:tr>
      <w:tr>
        <w:tc>
          <w:tcPr>
            <w:tcW w:type="dxa" w:w="2880"/>
          </w:tcPr>
          <w:p>
            <w:r>
              <w:t>Roulage-crimping</w:t>
            </w:r>
          </w:p>
        </w:tc>
        <w:tc>
          <w:tcPr>
            <w:tcW w:type="dxa" w:w="2880"/>
          </w:tcPr>
          <w:p>
            <w:r>
              <w:t>Roller-Crimping</w:t>
            </w:r>
          </w:p>
        </w:tc>
        <w:tc>
          <w:tcPr>
            <w:tcW w:type="dxa" w:w="2880"/>
          </w:tcPr>
          <w:p>
            <w:r>
              <w:t>roulage-pliage ; destruction mécanique par écrasage</w:t>
            </w:r>
          </w:p>
        </w:tc>
      </w:tr>
      <w:tr>
        <w:tc>
          <w:tcPr>
            <w:tcW w:type="dxa" w:w="2880"/>
          </w:tcPr>
          <w:p>
            <w:r>
              <w:t>SCV</w:t>
            </w:r>
          </w:p>
        </w:tc>
        <w:tc>
          <w:tcPr>
            <w:tcW w:type="dxa" w:w="2880"/>
          </w:tcPr>
          <w:p>
            <w:r>
              <w:t>direct seeding mulch-based cropping system</w:t>
            </w:r>
          </w:p>
        </w:tc>
        <w:tc>
          <w:tcPr>
            <w:tcW w:type="dxa" w:w="2880"/>
          </w:tcPr>
          <w:p>
            <w:r>
              <w:t>semis direct sous couverture ; Semis Direct sur Couverture Végétale permanente</w:t>
            </w:r>
          </w:p>
        </w:tc>
      </w:tr>
      <w:tr>
        <w:tc>
          <w:tcPr>
            <w:tcW w:type="dxa" w:w="2880"/>
          </w:tcPr>
          <w:p>
            <w:r>
              <w:t>Semis direct sous couvert végétal permanent</w:t>
            </w:r>
          </w:p>
        </w:tc>
        <w:tc>
          <w:tcPr>
            <w:tcW w:type="dxa" w:w="2880"/>
          </w:tcPr>
          <w:p>
            <w:r>
              <w:t>Direct seeding mulch-based cropping systems</w:t>
            </w:r>
          </w:p>
        </w:tc>
        <w:tc>
          <w:tcPr>
            <w:tcW w:type="dxa" w:w="2880"/>
          </w:tcPr>
          <w:p>
            <w:r>
              <w:t>Agriculture de conservation</w:t>
            </w:r>
          </w:p>
        </w:tc>
      </w:tr>
      <w:tr>
        <w:tc>
          <w:tcPr>
            <w:tcW w:type="dxa" w:w="2880"/>
          </w:tcPr>
          <w:p>
            <w:r>
              <w:t>TCS (Techniques Culturales Simplifiées)</w:t>
            </w:r>
          </w:p>
        </w:tc>
        <w:tc>
          <w:tcPr>
            <w:tcW w:type="dxa" w:w="2880"/>
          </w:tcPr>
          <w:p>
            <w:r>
              <w:t>reduced tillage</w:t>
            </w:r>
          </w:p>
        </w:tc>
        <w:tc>
          <w:tcPr>
            <w:tcW w:type="dxa" w:w="2880"/>
          </w:tcPr>
          <w:p>
            <w:r/>
          </w:p>
        </w:tc>
      </w:tr>
      <w:tr>
        <w:tc>
          <w:tcPr>
            <w:tcW w:type="dxa" w:w="2880"/>
          </w:tcPr>
          <w:p>
            <w:r>
              <w:t>Toxicité ferreuse</w:t>
            </w:r>
          </w:p>
        </w:tc>
        <w:tc>
          <w:tcPr>
            <w:tcW w:type="dxa" w:w="2880"/>
          </w:tcPr>
          <w:p>
            <w:r>
              <w:t>Iron toxicity (Fe²⁺)</w:t>
            </w:r>
          </w:p>
        </w:tc>
        <w:tc>
          <w:tcPr>
            <w:tcW w:type="dxa" w:w="2880"/>
          </w:tcPr>
          <w:p>
            <w:r/>
          </w:p>
        </w:tc>
      </w:tr>
      <w:tr>
        <w:tc>
          <w:tcPr>
            <w:tcW w:type="dxa" w:w="2880"/>
          </w:tcPr>
          <w:p>
            <w:r>
              <w:t>allélopathie</w:t>
            </w:r>
          </w:p>
        </w:tc>
        <w:tc>
          <w:tcPr>
            <w:tcW w:type="dxa" w:w="2880"/>
          </w:tcPr>
          <w:p>
            <w:r>
              <w:t>allelopathy</w:t>
            </w:r>
          </w:p>
        </w:tc>
        <w:tc>
          <w:tcPr>
            <w:tcW w:type="dxa" w:w="2880"/>
          </w:tcPr>
          <w:p>
            <w:r>
              <w:t>aucune ; interaction allélochimique</w:t>
            </w:r>
          </w:p>
        </w:tc>
      </w:tr>
      <w:tr>
        <w:tc>
          <w:tcPr>
            <w:tcW w:type="dxa" w:w="2880"/>
          </w:tcPr>
          <w:p>
            <w:r>
              <w:t>bentonite agricole</w:t>
            </w:r>
          </w:p>
        </w:tc>
        <w:tc>
          <w:tcPr>
            <w:tcW w:type="dxa" w:w="2880"/>
          </w:tcPr>
          <w:p>
            <w:r>
              <w:t>agricultural bentonite</w:t>
            </w:r>
          </w:p>
        </w:tc>
        <w:tc>
          <w:tcPr>
            <w:tcW w:type="dxa" w:w="2880"/>
          </w:tcPr>
          <w:p>
            <w:r/>
          </w:p>
        </w:tc>
      </w:tr>
      <w:tr>
        <w:tc>
          <w:tcPr>
            <w:tcW w:type="dxa" w:w="2880"/>
          </w:tcPr>
          <w:p>
            <w:r>
              <w:t>biopuncture</w:t>
            </w:r>
          </w:p>
        </w:tc>
        <w:tc>
          <w:tcPr>
            <w:tcW w:type="dxa" w:w="2880"/>
          </w:tcPr>
          <w:p>
            <w:r>
              <w:t>bio-drilling</w:t>
            </w:r>
          </w:p>
        </w:tc>
        <w:tc>
          <w:tcPr>
            <w:tcW w:type="dxa" w:w="2880"/>
          </w:tcPr>
          <w:p>
            <w:r>
              <w:t>décompaction biologique · bio-tillage ; forage biologique ; structuration racinaire</w:t>
            </w:r>
          </w:p>
        </w:tc>
      </w:tr>
      <w:tr>
        <w:tc>
          <w:tcPr>
            <w:tcW w:type="dxa" w:w="2880"/>
          </w:tcPr>
          <w:p>
            <w:r>
              <w:t>carabes (Carabidae)</w:t>
            </w:r>
          </w:p>
        </w:tc>
        <w:tc>
          <w:tcPr>
            <w:tcW w:type="dxa" w:w="2880"/>
          </w:tcPr>
          <w:p>
            <w:r>
              <w:t>ground beetles (Carabidae)</w:t>
            </w:r>
          </w:p>
        </w:tc>
        <w:tc>
          <w:tcPr>
            <w:tcW w:type="dxa" w:w="2880"/>
          </w:tcPr>
          <w:p>
            <w:r/>
          </w:p>
        </w:tc>
      </w:tr>
      <w:tr>
        <w:tc>
          <w:tcPr>
            <w:tcW w:type="dxa" w:w="2880"/>
          </w:tcPr>
          <w:p>
            <w:r>
              <w:t>chronosequence de regeneration</w:t>
            </w:r>
          </w:p>
        </w:tc>
        <w:tc>
          <w:tcPr>
            <w:tcW w:type="dxa" w:w="2880"/>
          </w:tcPr>
          <w:p>
            <w:r>
              <w:t>regeneration chronosequence</w:t>
            </w:r>
          </w:p>
        </w:tc>
        <w:tc>
          <w:tcPr>
            <w:tcW w:type="dxa" w:w="2880"/>
          </w:tcPr>
          <w:p>
            <w:r>
              <w:t>trajectoire de restauration du sol ; chronoséquence de pédogenèse anthropique</w:t>
            </w:r>
          </w:p>
        </w:tc>
      </w:tr>
      <w:tr>
        <w:tc>
          <w:tcPr>
            <w:tcW w:type="dxa" w:w="2880"/>
          </w:tcPr>
          <w:p>
            <w:r>
              <w:t>conductivité hydraulique saturée</w:t>
            </w:r>
          </w:p>
        </w:tc>
        <w:tc>
          <w:tcPr>
            <w:tcW w:type="dxa" w:w="2880"/>
          </w:tcPr>
          <w:p>
            <w:r>
              <w:t>saturated hydraulic conductivity</w:t>
            </w:r>
          </w:p>
        </w:tc>
        <w:tc>
          <w:tcPr>
            <w:tcW w:type="dxa" w:w="2880"/>
          </w:tcPr>
          <w:p>
            <w:r>
              <w:t>Ksat · perméabilité saturée ; K_s ; conductivité du milieu à saturation</w:t>
            </w:r>
          </w:p>
        </w:tc>
      </w:tr>
      <w:tr>
        <w:tc>
          <w:tcPr>
            <w:tcW w:type="dxa" w:w="2880"/>
          </w:tcPr>
          <w:p>
            <w:r>
              <w:t>couvert biomax</w:t>
            </w:r>
          </w:p>
        </w:tc>
        <w:tc>
          <w:tcPr>
            <w:tcW w:type="dxa" w:w="2880"/>
          </w:tcPr>
          <w:p>
            <w:r>
              <w:t>biomax cover crop mix</w:t>
            </w:r>
          </w:p>
        </w:tc>
        <w:tc>
          <w:tcPr>
            <w:tcW w:type="dxa" w:w="2880"/>
          </w:tcPr>
          <w:p>
            <w:r>
              <w:t>mélange multi-espèces à haute biomasse ; couvert végétal complexe ; couvert végétal à biomasse maximale</w:t>
            </w:r>
          </w:p>
        </w:tc>
      </w:tr>
      <w:tr>
        <w:tc>
          <w:tcPr>
            <w:tcW w:type="dxa" w:w="2880"/>
          </w:tcPr>
          <w:p>
            <w:r>
              <w:t>couvert multi-espèces</w:t>
            </w:r>
          </w:p>
        </w:tc>
        <w:tc>
          <w:tcPr>
            <w:tcW w:type="dxa" w:w="2880"/>
          </w:tcPr>
          <w:p>
            <w:r>
              <w:t>multi-species cover crop</w:t>
            </w:r>
          </w:p>
        </w:tc>
        <w:tc>
          <w:tcPr>
            <w:tcW w:type="dxa" w:w="2880"/>
          </w:tcPr>
          <w:p>
            <w:r>
              <w:t>mélange de couverts</w:t>
            </w:r>
          </w:p>
        </w:tc>
      </w:tr>
      <w:tr>
        <w:tc>
          <w:tcPr>
            <w:tcW w:type="dxa" w:w="2880"/>
          </w:tcPr>
          <w:p>
            <w:r>
              <w:t>couvert permanent</w:t>
            </w:r>
          </w:p>
        </w:tc>
        <w:tc>
          <w:tcPr>
            <w:tcW w:type="dxa" w:w="2880"/>
          </w:tcPr>
          <w:p>
            <w:r>
              <w:t>living mulch / permanent cover</w:t>
            </w:r>
          </w:p>
        </w:tc>
        <w:tc>
          <w:tcPr>
            <w:tcW w:type="dxa" w:w="2880"/>
          </w:tcPr>
          <w:p>
            <w:r/>
          </w:p>
        </w:tc>
      </w:tr>
      <w:tr>
        <w:tc>
          <w:tcPr>
            <w:tcW w:type="dxa" w:w="2880"/>
          </w:tcPr>
          <w:p>
            <w:r>
              <w:t>couverts végétaux</w:t>
            </w:r>
          </w:p>
        </w:tc>
        <w:tc>
          <w:tcPr>
            <w:tcW w:type="dxa" w:w="2880"/>
          </w:tcPr>
          <w:p>
            <w:r>
              <w:t>cover crops</w:t>
            </w:r>
          </w:p>
        </w:tc>
        <w:tc>
          <w:tcPr>
            <w:tcW w:type="dxa" w:w="2880"/>
          </w:tcPr>
          <w:p>
            <w:r>
              <w:t>tapis végétal ; cultures intermédiaires ; engrais verts ; CIPAN</w:t>
            </w:r>
          </w:p>
        </w:tc>
      </w:tr>
      <w:tr>
        <w:tc>
          <w:tcPr>
            <w:tcW w:type="dxa" w:w="2880"/>
          </w:tcPr>
          <w:p>
            <w:r>
              <w:t>couverture permanente</w:t>
            </w:r>
          </w:p>
        </w:tc>
        <w:tc>
          <w:tcPr>
            <w:tcW w:type="dxa" w:w="2880"/>
          </w:tcPr>
          <w:p>
            <w:r>
              <w:t>permanent soil cover</w:t>
            </w:r>
          </w:p>
        </w:tc>
        <w:tc>
          <w:tcPr>
            <w:tcW w:type="dxa" w:w="2880"/>
          </w:tcPr>
          <w:p>
            <w:r>
              <w:t>sol toujours couvert ; mulch permanent ; couverture intégrale du sol ; sol couvert en permanence</w:t>
            </w:r>
          </w:p>
        </w:tc>
      </w:tr>
      <w:tr>
        <w:tc>
          <w:tcPr>
            <w:tcW w:type="dxa" w:w="2880"/>
          </w:tcPr>
          <w:p>
            <w:r>
              <w:t>cultures de services</w:t>
            </w:r>
          </w:p>
        </w:tc>
        <w:tc>
          <w:tcPr>
            <w:tcW w:type="dxa" w:w="2880"/>
          </w:tcPr>
          <w:p>
            <w:r>
              <w:t>service crops</w:t>
            </w:r>
          </w:p>
        </w:tc>
        <w:tc>
          <w:tcPr>
            <w:tcW w:type="dxa" w:w="2880"/>
          </w:tcPr>
          <w:p>
            <w:r>
              <w:t>CIPAN (cultures intermédiaires pièges à nitrates)</w:t>
            </w:r>
          </w:p>
        </w:tc>
      </w:tr>
      <w:tr>
        <w:tc>
          <w:tcPr>
            <w:tcW w:type="dxa" w:w="2880"/>
          </w:tcPr>
          <w:p>
            <w:r>
              <w:t>efficience d utilisation de l azote</w:t>
            </w:r>
          </w:p>
        </w:tc>
        <w:tc>
          <w:tcPr>
            <w:tcW w:type="dxa" w:w="2880"/>
          </w:tcPr>
          <w:p>
            <w:r>
              <w:t>nitrogen use efficiency</w:t>
            </w:r>
          </w:p>
        </w:tc>
        <w:tc>
          <w:tcPr>
            <w:tcW w:type="dxa" w:w="2880"/>
          </w:tcPr>
          <w:p>
            <w:r>
              <w:t>EUN ; efficacité d'utilisation de l'azote ; coefficient d'utilisation de l'azote</w:t>
            </w:r>
          </w:p>
        </w:tc>
      </w:tr>
      <w:tr>
        <w:tc>
          <w:tcPr>
            <w:tcW w:type="dxa" w:w="2880"/>
          </w:tcPr>
          <w:p>
            <w:r>
              <w:t>enhanced weathering</w:t>
            </w:r>
          </w:p>
        </w:tc>
        <w:tc>
          <w:tcPr>
            <w:tcW w:type="dxa" w:w="2880"/>
          </w:tcPr>
          <w:p>
            <w:r>
              <w:t>enhanced weathering</w:t>
            </w:r>
          </w:p>
        </w:tc>
        <w:tc>
          <w:tcPr>
            <w:tcW w:type="dxa" w:w="2880"/>
          </w:tcPr>
          <w:p>
            <w:r/>
          </w:p>
        </w:tc>
      </w:tr>
      <w:tr>
        <w:tc>
          <w:tcPr>
            <w:tcW w:type="dxa" w:w="2880"/>
          </w:tcPr>
          <w:p>
            <w:r>
              <w:t>indice d'aire foliaire</w:t>
            </w:r>
          </w:p>
        </w:tc>
        <w:tc>
          <w:tcPr>
            <w:tcW w:type="dxa" w:w="2880"/>
          </w:tcPr>
          <w:p>
            <w:r>
              <w:t>leaf area index</w:t>
            </w:r>
          </w:p>
        </w:tc>
        <w:tc>
          <w:tcPr>
            <w:tcW w:type="dxa" w:w="2880"/>
          </w:tcPr>
          <w:p>
            <w:r>
              <w:t>IAF</w:t>
            </w:r>
          </w:p>
        </w:tc>
      </w:tr>
      <w:tr>
        <w:tc>
          <w:tcPr>
            <w:tcW w:type="dxa" w:w="2880"/>
          </w:tcPr>
          <w:p>
            <w:r>
              <w:t>indice d'aire foliaire (LAI)</w:t>
            </w:r>
          </w:p>
        </w:tc>
        <w:tc>
          <w:tcPr>
            <w:tcW w:type="dxa" w:w="2880"/>
          </w:tcPr>
          <w:p>
            <w:r>
              <w:t>leaf area index (LAI)</w:t>
            </w:r>
          </w:p>
        </w:tc>
        <w:tc>
          <w:tcPr>
            <w:tcW w:type="dxa" w:w="2880"/>
          </w:tcPr>
          <w:p>
            <w:r>
              <w:t>LAI · indice foliaire</w:t>
            </w:r>
          </w:p>
        </w:tc>
      </w:tr>
      <w:tr>
        <w:tc>
          <w:tcPr>
            <w:tcW w:type="dxa" w:w="2880"/>
          </w:tcPr>
          <w:p>
            <w:r>
              <w:t>légumineuses</w:t>
            </w:r>
          </w:p>
        </w:tc>
        <w:tc>
          <w:tcPr>
            <w:tcW w:type="dxa" w:w="2880"/>
          </w:tcPr>
          <w:p>
            <w:r>
              <w:t>legumes</w:t>
            </w:r>
          </w:p>
        </w:tc>
        <w:tc>
          <w:tcPr>
            <w:tcW w:type="dxa" w:w="2880"/>
          </w:tcPr>
          <w:p>
            <w:r>
              <w:t>Fabacées ; plantes fixatrices d'azote atmosphérique</w:t>
            </w:r>
          </w:p>
        </w:tc>
      </w:tr>
      <w:tr>
        <w:tc>
          <w:tcPr>
            <w:tcW w:type="dxa" w:w="2880"/>
          </w:tcPr>
          <w:p>
            <w:r>
              <w:t>marnage</w:t>
            </w:r>
          </w:p>
        </w:tc>
        <w:tc>
          <w:tcPr>
            <w:tcW w:type="dxa" w:w="2880"/>
          </w:tcPr>
          <w:p>
            <w:r>
              <w:t>marling</w:t>
            </w:r>
          </w:p>
        </w:tc>
        <w:tc>
          <w:tcPr>
            <w:tcW w:type="dxa" w:w="2880"/>
          </w:tcPr>
          <w:p>
            <w:r/>
          </w:p>
        </w:tc>
      </w:tr>
      <w:tr>
        <w:tc>
          <w:tcPr>
            <w:tcW w:type="dxa" w:w="2880"/>
          </w:tcPr>
          <w:p>
            <w:r>
              <w:t>mulch</w:t>
            </w:r>
          </w:p>
        </w:tc>
        <w:tc>
          <w:tcPr>
            <w:tcW w:type="dxa" w:w="2880"/>
          </w:tcPr>
          <w:p>
            <w:r>
              <w:t>mulch</w:t>
            </w:r>
          </w:p>
        </w:tc>
        <w:tc>
          <w:tcPr>
            <w:tcW w:type="dxa" w:w="2880"/>
          </w:tcPr>
          <w:p>
            <w:r>
              <w:t>paillis ; couverture morte ; résidus de surface ; paillis ; mulch organique</w:t>
            </w:r>
          </w:p>
        </w:tc>
      </w:tr>
      <w:tr>
        <w:tc>
          <w:tcPr>
            <w:tcW w:type="dxa" w:w="2880"/>
          </w:tcPr>
          <w:p>
            <w:r>
              <w:t>non-labour</w:t>
            </w:r>
          </w:p>
        </w:tc>
        <w:tc>
          <w:tcPr>
            <w:tcW w:type="dxa" w:w="2880"/>
          </w:tcPr>
          <w:p>
            <w:r>
              <w:t>no-till</w:t>
            </w:r>
          </w:p>
        </w:tc>
        <w:tc>
          <w:tcPr>
            <w:tcW w:type="dxa" w:w="2880"/>
          </w:tcPr>
          <w:p>
            <w:r>
              <w:t>travail du sol nul ; semis direct intégral ; sans labour</w:t>
            </w:r>
          </w:p>
        </w:tc>
      </w:tr>
      <w:tr>
        <w:tc>
          <w:tcPr>
            <w:tcW w:type="dxa" w:w="2880"/>
          </w:tcPr>
          <w:p>
            <w:r>
              <w:t>occultation (bâchage)</w:t>
            </w:r>
          </w:p>
        </w:tc>
        <w:tc>
          <w:tcPr>
            <w:tcW w:type="dxa" w:w="2880"/>
          </w:tcPr>
          <w:p>
            <w:r>
              <w:t>occultation (tarping)</w:t>
            </w:r>
          </w:p>
        </w:tc>
        <w:tc>
          <w:tcPr>
            <w:tcW w:type="dxa" w:w="2880"/>
          </w:tcPr>
          <w:p>
            <w:r>
              <w:t>couverture plastique ; bâchage ; solarisation ; faux-semis</w:t>
            </w:r>
          </w:p>
        </w:tc>
      </w:tr>
      <w:tr>
        <w:tc>
          <w:tcPr>
            <w:tcW w:type="dxa" w:w="2880"/>
          </w:tcPr>
          <w:p>
            <w:r>
              <w:t>occultation longue durée</w:t>
            </w:r>
          </w:p>
        </w:tc>
        <w:tc>
          <w:tcPr>
            <w:tcW w:type="dxa" w:w="2880"/>
          </w:tcPr>
          <w:p>
            <w:r>
              <w:t>long-term tarping / occultation</w:t>
            </w:r>
          </w:p>
        </w:tc>
        <w:tc>
          <w:tcPr>
            <w:tcW w:type="dxa" w:w="2880"/>
          </w:tcPr>
          <w:p>
            <w:r/>
          </w:p>
        </w:tc>
      </w:tr>
      <w:tr>
        <w:tc>
          <w:tcPr>
            <w:tcW w:type="dxa" w:w="2880"/>
          </w:tcPr>
          <w:p>
            <w:r>
              <w:t>pedogenese construite</w:t>
            </w:r>
          </w:p>
        </w:tc>
        <w:tc>
          <w:tcPr>
            <w:tcW w:type="dxa" w:w="2880"/>
          </w:tcPr>
          <w:p>
            <w:r>
              <w:t>engineered pedogenesis</w:t>
            </w:r>
          </w:p>
        </w:tc>
        <w:tc>
          <w:tcPr>
            <w:tcW w:type="dxa" w:w="2880"/>
          </w:tcPr>
          <w:p>
            <w:r/>
          </w:p>
        </w:tc>
      </w:tr>
      <w:tr>
        <w:tc>
          <w:tcPr>
            <w:tcW w:type="dxa" w:w="2880"/>
          </w:tcPr>
          <w:p>
            <w:r>
              <w:t>plantes hôtes intermédiaires</w:t>
            </w:r>
          </w:p>
        </w:tc>
        <w:tc>
          <w:tcPr>
            <w:tcW w:type="dxa" w:w="2880"/>
          </w:tcPr>
          <w:p>
            <w:r>
              <w:t>nurse crops (mycorrhizal host crops)</w:t>
            </w:r>
          </w:p>
        </w:tc>
        <w:tc>
          <w:tcPr>
            <w:tcW w:type="dxa" w:w="2880"/>
          </w:tcPr>
          <w:p>
            <w:r>
              <w:t>plantes relais de mycorhization ; cultures de renfort</w:t>
            </w:r>
          </w:p>
        </w:tc>
      </w:tr>
      <w:tr>
        <w:tc>
          <w:tcPr>
            <w:tcW w:type="dxa" w:w="2880"/>
          </w:tcPr>
          <w:p>
            <w:r>
              <w:t>rotation sur prairie</w:t>
            </w:r>
          </w:p>
        </w:tc>
        <w:tc>
          <w:tcPr>
            <w:tcW w:type="dxa" w:w="2880"/>
          </w:tcPr>
          <w:p>
            <w:r>
              <w:t>prairie rotation</w:t>
            </w:r>
          </w:p>
        </w:tc>
        <w:tc>
          <w:tcPr>
            <w:tcW w:type="dxa" w:w="2880"/>
          </w:tcPr>
          <w:p>
            <w:r>
              <w:t>alternance culture-prairie ; rotation incluant des prairies temporaires ; alternance culture-prairie ; ley farming</w:t>
            </w:r>
          </w:p>
        </w:tc>
      </w:tr>
      <w:tr>
        <w:tc>
          <w:tcPr>
            <w:tcW w:type="dxa" w:w="2880"/>
          </w:tcPr>
          <w:p>
            <w:r>
              <w:t>rotation sur prairie (MSV)</w:t>
            </w:r>
          </w:p>
        </w:tc>
        <w:tc>
          <w:tcPr>
            <w:tcW w:type="dxa" w:w="2880"/>
          </w:tcPr>
          <w:p>
            <w:r>
              <w:t>prairie rotation (MSV)</w:t>
            </w:r>
          </w:p>
        </w:tc>
        <w:tc>
          <w:tcPr>
            <w:tcW w:type="dxa" w:w="2880"/>
          </w:tcPr>
          <w:p>
            <w:r/>
          </w:p>
        </w:tc>
      </w:tr>
      <w:tr>
        <w:tc>
          <w:tcPr>
            <w:tcW w:type="dxa" w:w="2880"/>
          </w:tcPr>
          <w:p>
            <w:r>
              <w:t>roulage-crimpage</w:t>
            </w:r>
          </w:p>
        </w:tc>
        <w:tc>
          <w:tcPr>
            <w:tcW w:type="dxa" w:w="2880"/>
          </w:tcPr>
          <w:p>
            <w:r>
              <w:t>roller-crimping</w:t>
            </w:r>
          </w:p>
        </w:tc>
        <w:tc>
          <w:tcPr>
            <w:tcW w:type="dxa" w:w="2880"/>
          </w:tcPr>
          <w:p>
            <w:r>
              <w:t>roulage-pliage ; destruction par rouleau hacheur</w:t>
            </w:r>
          </w:p>
        </w:tc>
      </w:tr>
      <w:tr>
        <w:tc>
          <w:tcPr>
            <w:tcW w:type="dxa" w:w="2880"/>
          </w:tcPr>
          <w:p>
            <w:r>
              <w:t>semis direct sous couvert (SDSC)</w:t>
            </w:r>
          </w:p>
        </w:tc>
        <w:tc>
          <w:tcPr>
            <w:tcW w:type="dxa" w:w="2880"/>
          </w:tcPr>
          <w:p>
            <w:r>
              <w:t>direct seeding under cover (SDSC)</w:t>
            </w:r>
          </w:p>
        </w:tc>
        <w:tc>
          <w:tcPr>
            <w:tcW w:type="dxa" w:w="2880"/>
          </w:tcPr>
          <w:p>
            <w:r>
              <w:t>agriculture sans labour ; semis direct</w:t>
            </w:r>
          </w:p>
        </w:tc>
      </w:tr>
      <w:tr>
        <w:tc>
          <w:tcPr>
            <w:tcW w:type="dxa" w:w="2880"/>
          </w:tcPr>
          <w:p>
            <w:r>
              <w:t>strip-till</w:t>
            </w:r>
          </w:p>
        </w:tc>
        <w:tc>
          <w:tcPr>
            <w:tcW w:type="dxa" w:w="2880"/>
          </w:tcPr>
          <w:p>
            <w:r>
              <w:t>strip-till</w:t>
            </w:r>
          </w:p>
        </w:tc>
        <w:tc>
          <w:tcPr>
            <w:tcW w:type="dxa" w:w="2880"/>
          </w:tcPr>
          <w:p>
            <w:r/>
          </w:p>
        </w:tc>
      </w:tr>
      <w:tr>
        <w:tc>
          <w:tcPr>
            <w:tcW w:type="dxa" w:w="2880"/>
          </w:tcPr>
          <w:p>
            <w:r>
              <w:t>stœchiométrie C/N</w:t>
            </w:r>
          </w:p>
        </w:tc>
        <w:tc>
          <w:tcPr>
            <w:tcW w:type="dxa" w:w="2880"/>
          </w:tcPr>
          <w:p>
            <w:r>
              <w:t>carbon to nitrogen ratio</w:t>
            </w:r>
          </w:p>
        </w:tc>
        <w:tc>
          <w:tcPr>
            <w:tcW w:type="dxa" w:w="2880"/>
          </w:tcPr>
          <w:p>
            <w:r>
              <w:t>ratio C/N · rapport carbone sur azote ; rapport C/N ; rapport carbone sur azote</w:t>
            </w:r>
          </w:p>
        </w:tc>
      </w:tr>
      <w:tr>
        <w:tc>
          <w:tcPr>
            <w:tcW w:type="dxa" w:w="2880"/>
          </w:tcPr>
          <w:p>
            <w:r>
              <w:t>zeolite agricole</w:t>
            </w:r>
          </w:p>
        </w:tc>
        <w:tc>
          <w:tcPr>
            <w:tcW w:type="dxa" w:w="2880"/>
          </w:tcPr>
          <w:p>
            <w:r>
              <w:t>agricultural zeolite</w:t>
            </w:r>
          </w:p>
        </w:tc>
        <w:tc>
          <w:tcPr>
            <w:tcW w:type="dxa" w:w="2880"/>
          </w:tcPr>
          <w:p>
            <w:r/>
          </w:p>
        </w:tc>
      </w:tr>
      <w:tr>
        <w:tc>
          <w:tcPr>
            <w:tcW w:type="dxa" w:w="2880"/>
          </w:tcPr>
          <w:p>
            <w:r>
              <w:t>évapotranspiration</w:t>
            </w:r>
          </w:p>
        </w:tc>
        <w:tc>
          <w:tcPr>
            <w:tcW w:type="dxa" w:w="2880"/>
          </w:tcPr>
          <w:p>
            <w:r>
              <w:t>evapotranspiration</w:t>
            </w:r>
          </w:p>
        </w:tc>
        <w:tc>
          <w:tcPr>
            <w:tcW w:type="dxa" w:w="2880"/>
          </w:tcPr>
          <w:p>
            <w:r>
              <w:t>ET ; flux d'eau sol-plante-atmosphère</w:t>
            </w:r>
          </w:p>
        </w:tc>
      </w:tr>
    </w:tbl>
    <w:p/>
    <w:p>
      <w:pPr>
        <w:jc w:val="center"/>
      </w:pPr>
      <w:r>
        <w:rPr>
          <w:color w:val="999999"/>
          <w:sz w:val="18"/>
        </w:rPr>
        <w:t>────────────────────────────────────────</w:t>
      </w:r>
    </w:p>
    <w:p>
      <w:pPr>
        <w:pStyle w:val="Heading1"/>
      </w:pPr>
      <w:r>
        <w:t>Introduction</w:t>
      </w:r>
    </w:p>
    <w:p>
      <w:r>
        <w:t>La diversité botanique du couvert est le premier levier — elle détermine la diversité des exsudats et donc du microbiome.</w:t>
      </w:r>
    </w:p>
    <w:p/>
    <w:p>
      <w:r>
        <w:t>→ L'ACS EST la bascule performance→robustesse de Hamant appliquée à l'agriculture. Non-labour = accepter la contreperformance (pas de résultat immédiat) pour la robustesse (structure biologique sur 5 ans).</w:t>
        <w:br/>
        <w:t>→ Mélanges variétaux : 5% en 2010 → 40% en 2020 (Hamant). Les pionniers ACS = les étourneaux à la périphérie qui contaminent le cœur. La transformation est en cours.</w:t>
        <w:br/>
        <w:t>→ Les plantes exploiteuses (Zones 3-4) vs conservatrices (Zone 1) : adapter les couverts au diagnostic C/Argile.</w:t>
      </w:r>
    </w:p>
    <w:p>
      <w:r>
        <w:t>Agriculture de conservation : Les piliers du système</w:t>
        <w:br/>
        <w:t>L'agriculture de conservation fournit la structure opérationnelle pour protéger le sol(Frère, 2017; Landel, 2015).</w:t>
        <w:br/>
        <w:t>Trois piliers interdépendants : La couverture maximale du sol, des rotations longues et diversifiées, et un travail minimum du sol sont essentiels pour maintenir l'état sanitaire des cultures et préserver les fonctionnalités écosystémiques (Peschaud, 2015).</w:t>
        <w:br/>
        <w:t>Synergie systémique : L'ACS et l'agroforesterie sont souvent liées par une logique systémique : la sensibilisation à la vie du sol pousse souvent les agriculteurs à intégrer des arbres, et inversement (Sachet, 2020).</w:t>
        <w:br/>
        <w:t xml:space="preserve"> Trajectoire de transition vers le régénératif</w:t>
        <w:br/>
        <w:t>La transition est décrite comme un changement de paradigme, passant d'une gestion par intrants à une gestion par les résultats écosystémiques (Cruz, 2025).</w:t>
        <w:br/>
        <w:t>Approche systémique : La trajectoire commence souvent par des "actes préparatoires" (comme l'arrêt du labour) avant de s'intégrer dans une logique de système complet où chaque élément (arbre, sol, intrant biologique) interagit (Cristofari, 2018; Sachet, 2020).</w:t>
        <w:br/>
        <w:t>Indicateurs de succès : La réussite se valide par l'augmentation de la matière organique et la stabilisation des agrégats, ce qui amélior</w:t>
      </w:r>
    </w:p>
    <w:p>
      <w:r>
        <w:t>§1 Introduction: Cette fiche est une revue critique de la thèse selon laquelle le microbiome du sol vivant amplifie la thermotolérance des plantes cultivées. Elle examine 7 mécanismes avec niveaux de preuve, référence</w:t>
        <w:br/>
        <w:t>§2 Tolérance systémique induite par les PGPR: ACC déaminase, biofilms EPS, osmolytes, épigénétique. Niveau de preuve : FORT.</w:t>
        <w:br/>
        <w:t>§3 Microbiome et thermotolérance foliaire: Hernandes Villani et al., soja. Niveau de preuve : FORT.</w:t>
        <w:br/>
        <w:t>§4 Remontée hydraulique et réseaux mycorhiziens: Accès micropores, transport deutéré. Niveau de preuve : MODÉRÉ à FORT.</w:t>
        <w:br/>
        <w:t>§5 Fenêtre thermique et chauffage racinaire: Sol tampon thermique, priming thermique + micro-organismes. Niveaux de preuve : MODÉRÉ à FORT.</w:t>
      </w:r>
    </w:p>
    <w:p>
      <w:r>
        <w:t xml:space="preserve">§1 Introduction: Cette analyse croise 4 sources complémentaires : 1. Kirkby et al. (2016) — Article fondateur : la stœchiométrie CNPS (C:N:P:S = 100:8:2:1.5) détermine l'efficience d'humification. L'apport de N, P, S </w:t>
        <w:br/>
        <w:t>§2 La formule de Kirkby : stœchiométrie CNPS: les implications pratiques (apport N minéral → plus de C séquestré, pas moins). Données chiffrées de l'article (rendement d'humification avec/sans nutriments). - S4 → P2 : Stœchiométrie CNPS : choix c</w:t>
        <w:br/>
        <w:t xml:space="preserve">§3 Modèle AMG et bilan humique: (minéralisation), les facteurs de contrôle (T°, pH, argile, C:N, bilan hydrique). Résultats de Borderieux : RMSE = 2.6 TC/ha, pas de biais systématique. - S4 → F2 : bilan carbone net et EROI agricole </w:t>
        <w:br/>
        <w:t>§4 Leviers pratiques pour le bilan carbone: - Semis direct : coefficient 75% vs 100% en labour - Couverts végétaux : apport de C racinaire (K1 = 0.4 pour racines) - CIVE : export possible sans dégrader le bilan en semis direct - Ratio MO/argile</w:t>
        <w:br/>
        <w:t>§5 Donnees de reference: - K1 par type de résidu (aérien vs racinaire) - Effet du travail du sol (labour/TCS/SD) - Seuils MO/argile - Ratio CNPS optimal - ISMO des principaux amendements - P1 → S1 : Implications de la texture</w:t>
      </w:r>
    </w:p>
    <w:p>
      <w:r>
        <w:t>§1 Introduction: Croisement de 4 sources : 1. Couverts végétaux (Triple Perf) — Mélanges multi-espèces, biomasse, C/N, services écosystémiques (fixation N2, structuration, protection) 2. Gestion de l'eau (Triple Perf)</w:t>
        <w:br/>
        <w:t xml:space="preserve">§2 Couverts végétaux multi-espèces: Biomasse produite, C/N, effet sur le sol. Données chiffrées. - P2 → S0 : Couverts : infiltration ×1.5-5, évaporation -24-32% - S4 → P2 : Stœchiométrie CNPS : choix couverts et amendements - P2 → S2 : </w:t>
        <w:br/>
        <w:t>§3 Gestion hydraulique du paysage: Impact sur la recharge des nappes et la résilience hydrique. - P4 → S0 : remontée hydraulique et résilience hydrique - S2 → S0 : Les films d'eau contrôlent l'activité microbienne — prérequis hydrauliq</w:t>
        <w:br/>
        <w:t>§4 ACS et bilan hydrique: réserve utile. Données comparatives labour vs SD. - P4 → S0 : remontée hydraulique et résilience hydrique - P2 → S1 : Le non-labour et le mulch comme prévention de l'hystérésis hydrique - S1 → S0 : ag</w:t>
        <w:br/>
        <w:t>§5 Maraîchage sur sol vivant (MSV): Résultats terrain : rendements, qualité, vie du sol. - P3 → H2 : Risque de transfert horizontal de gènes de résistance via inoculums fermentés - P2 → S4 : Le non-labour préserve les microsites anoxiqu</w:t>
      </w:r>
    </w:p>
    <w:p>
      <w:r>
        <w:t xml:space="preserve">§1 Introduction: Cette revue critique examine la chaîne C7 : les systèmes agricoles optimisés pour la performance maximale (rendement, efficience) deviennent fragiles, et la robustesse émerge des "contreperformances" </w:t>
        <w:br/>
        <w:t>§2 Le piège de la performance (efficiency trap): Olivier Hamant (ENS Lyon, 2023) décrit l'efficiency trap comme une boucle auto-renforçante : crise → besoin de sécurité → besoin de contrôle → augmentation de la performance → épuisement des ressource</w:t>
        <w:br/>
        <w:t>§3 Compromis performance/robustesse: Hamant (2024) affirme qu'un système ne peut pas être simultanément très performant et très robuste. Performant = optimisé, spécialisé, adapté (donc peu adaptable). Robuste = diversifié, redondant, len</w:t>
        <w:br/>
        <w:t>§4 Contreperformances sélectionnées par l évolution: Hamant propose que la sélection naturelle a favorisé quatre types de contreperformances qui élargissent l'espace de viabilité des systèmes : 1. Inefficacité : un CUE (Carbon Use Efficiency) variable p</w:t>
        <w:br/>
        <w:t>§5 Traduction agronomique : couverts, microbiome et transition: Les étapes 4-6 de la chaîne C7 traduisent les contreperformances dans la pratique agricole : Étape 4 — Couverts multi-espèces : la diversité spécifique est une "contreperformance productive" (rendemen</w:t>
      </w:r>
    </w:p>
    <w:p>
      <w:r>
        <w:t>## 1. Principes fondamentaux de l'oxydo-réduction dans le sol</w:t>
        <w:br/>
        <w:t>L'oxydo-réduction se définit comme le transfert d'électrons entre espèces chimiques : l'**oxydation** correspond à la perte d'électrons par un réducteur (donneur), tandis que la **réduction** correspond au gain d'électrons par un oxydant (accepteur)(Zouaoui, 2020) Ces échanges électroniques constituent le socle énergétique de la vie microbienne et des cycles biogéochimiques du sol(Thullner &amp; Regnier, 2019)</w:t>
        <w:br/>
        <w:t>Le **potentiel redox (Eh)**, exprimé en millivolts (mV), mesure l'affinité électronique d'un milieu — sa tendance à gagner ou perdre des électrons(Hure, 2004) Un Eh élevé (&gt; +400 mV) caractérise un milieu oxydant riche en accepteurs d'électrons (O₂) ; un Eh bas ou négatif caractérise un milieu réducteur riche en donneurs(Rousselot, 2012) Le potentiel redox du sol est aujourd'hui reconnu comme un **indicateur holistique de la santé du sol** intégrant physique (porosité, eau), chimie (spéciation, solubilité) et biologie (activité microbienne)(Loiret, 2013)</w:t>
        <w:br/>
        <w:t>Le **couplage Eh–pH** est fondamental : de nombreuses réactions redox consomment ou produisent des protons. Les **diagrammes Eh–pH (Pourbaix)** permettent de prédire la spéciation dominante et la mobilité des éléments — métaux lourds (Cr, Cu, Pb, As)(Caurel, 2019) À pH acide, la mobilité et la biodisponibilité de certains métaux toxiques sont augmentées, le potentiel d'oxydoréduction étant également un facteur important (Drapeau, 2018)</w:t>
      </w:r>
    </w:p>
    <w:p>
      <w:r>
        <w:t>## 2. La Tour Redox : hiérarchie thermodynamique des accepteurs d'électrons</w:t>
        <w:br/>
        <w:t>Lorsque le sol transite de conditions oxiques à anoxiques, les microorganismes utilisent successivement des accepteurs d'électrons alternatifs selon une séquence thermodynamiquement déterminée — la **« Tour Redox »** — fondée sur l'**énergie libre de Gibbs (ΔG)** libérée par chaque couple. Les accepteurs ayant les potentiels standard les plus élevés sont utilisés en priorité car ils maximisent le rendement énergétique(Delattre, 2018)</w:t>
        <w:br/>
        <w:t>1. **O₂ / H₂O** (Eh° ≈ +820 mV) — respiration aérobie, rendement maximal(Bogeski et al., 2011; Zheng, 2019)</w:t>
        <w:br/>
        <w:t>2. **NO₃⁻ / N₂** (Eh° ≈ +740 mV) — **dénitrification** séquentielle NO₃⁻ → NO₂⁻ → N₂O → N₂(Garnier, 2012)</w:t>
        <w:br/>
        <w:t>3. **Mn⁴⁺ / Mn²⁺** (Eh° ≈ +520 mV) — réduction des oxydes de manganèse(Payandi-Rolland, 2020)</w:t>
        <w:br/>
        <w:t>4. **Fe³⁺ / Fe²⁺** (Eh° ≈ −50 mV selon la phase) — réduction dissimilatrice du fer(Payandi-Rolland, 2020)</w:t>
        <w:br/>
        <w:t>5. **SO₄²⁻ / H₂S** (Eh° ≈ −220 mV) — sulfato-réduction(Payandi-Rolland, 2020)</w:t>
        <w:br/>
        <w:t>6. **CO₂ / CH₄** (Eh° ≈ −240 mV) — **méthanogenèse** archéenne(“Microbial Electrochemical Technologies,” 2023)</w:t>
        <w:br/>
        <w:t>Ce modèle reste une simplification : en conditions naturelles, ces processus se chevauchent dans des **microniches** à différentes profondeurs (Lacroix et al., 2023) et des accepteurs non conventionnels comme les **substances humiques**, riches en groupements phénoliques et quinoïques, agissent en **navettes électroniques (redox shuttles)**, facilitant le transfert d'électrons vers des accepteurs peu solubles et les acheminant de manière abiotique (Parrello, 2014)</w:t>
      </w:r>
    </w:p>
    <w:p>
      <w:r>
        <w:t>## 3. Hétérogénéité spatiale : microniches anoxiques et gradients redox</w:t>
        <w:br/>
        <w:t>Le sol n'est jamais homogène : il présente des **gradients redox** millimétriques à micrométriques et des **microniches anoxiques** au sein même d'environnements globalement oxiques(Mostajir et al., 2012) Ces microniches se forment autour de particules de MO fraîchement incorporées(Schlüter et al., 2024) à l'intérieur d'agrégats denses(Mostajir et al., 2012) ou dans des pores saturés(Lombard, 2007)</w:t>
        <w:br/>
        <w:t>Trois facteurs contrôlent leur formation :</w:t>
        <w:br/>
        <w:t>**Activité microbienne intense** : consommation rapide d'O₂ par les décomposeurs (Chen et al., 2025)</w:t>
        <w:br/>
        <w:t>**Diffusion limitée de l'oxygène** : dans l'eau, la diffusion est ~10 000 fois plus lente que dans l'air (Neira-Román et al., 2015)</w:t>
        <w:br/>
        <w:t>**Architecture porale** : structure, densité, connectivité des pores modulent l'aération (Rabot et al., 2017)</w:t>
        <w:br/>
        <w:t>L'existence de microniches permet la **coexistence** de processus aérobies et anaérobies dans un même volume de sol : nitrification et dénitrification peuvent se dérouler en parallèle à quelques millimètres de distance (Schlüter et al., 2024) Ces zones sont également des sites privilégiés de production de CH₄ (Wagner, 2017) L'imagerie chimique par rayons X permet désormais de les visualiser (Noël et al., 2024)</w:t>
      </w:r>
    </w:p>
    <w:p>
      <w:r>
        <w:t>## 4. Dynamiques temporelles : cycles humidité-sécheresse et effet Birch</w:t>
        <w:br/>
        <w:t>Les fluctuations hydrologiques imposent des oscillations rapides du Eh. Un sol qui sèche voit son oxygénation progresser et son Eh remonter (Turkeltaub et al., 2022) ; une réhumidification rapide (orage post-sécheresse) sature les pores, épuise l'O₂ et fait chuter le Eh(Turkeltaub et al., 2022)</w:t>
        <w:br/>
        <w:t>Ces oscillations déclenchent des phénomènes biogéochimiques majeurs :</w:t>
        <w:br/>
        <w:t>**Effet Birch** : pic de respiration de CO₂ au réhumectage, par déstabilisation physico-chimique du carbone et activation microbienne (Liu et al., 2025)</w:t>
        <w:br/>
        <w:t>**Libération pulsée de Fe²⁺, Mn²⁺ et P** lors de la phase réductrice (Yuan et al., 2020)</w:t>
        <w:br/>
        <w:t>**Émissions de N₂O** maximales aux transitions Eh (Yuan, 2020)</w:t>
        <w:br/>
        <w:t>**Sélection de généralistes métaboliques** capables de basculer entre voies aérobies et anaérobies (Pett‐Ridge &amp; Firestone, 2005)</w:t>
        <w:br/>
        <w:t>La MOS agit comme **tampon redox**, stabilisant le Eh face aux fluctuations(Husson, 2012) Un sol bien pourvu en MO mature présente une résilience accrue aux chocs hydrologiques — levier central en contexte de changement climatique(Hinimbio, 2019)</w:t>
      </w:r>
    </w:p>
    <w:p>
      <w:r>
        <w:t>## 5. Couplage redox et cycles biogéochimiques</w:t>
        <w:br/>
        <w:t>Le Eh gouverne les cycles majeurs(Lagauzère, 2008)</w:t>
        <w:br/>
        <w:t>**Azote** : nitrification (aérobie, Eh élevé) vs dénitrification (anaérobie, Eh bas) (Yuan, 2020)</w:t>
        <w:br/>
        <w:t>**Fer/Manganèse** : Fe³⁺/Mn⁴⁺ insolubles en conditions oxydantes → Fe²⁺/Mn²⁺ solubles et mobiles en conditions réductrices, avec un risque de toxicité ferreuse dans les rizières (Sahrawat, 2004) Formation de **concrétions redoximorphes** lors des alternances (Sipos et al., 2022)</w:t>
        <w:br/>
        <w:t>**Soufre** : SO₄²⁻ (oxydé, biodisponible) ↔ S²⁻/H₂S (réduit, toxique) ; précipitation de sulfures métalliques insolubles (FeS, FeS₂)(Berkowitz &amp; VanZomeren, 2020)</w:t>
        <w:br/>
        <w:t>**Phosphore** : libération du P adsorbé aux oxyhydroxydes de fer lors de leur réduction (Gu, 2017) La **perte radiale rythmique d'oxygène** par les racines induit des fluctuations redox rhizosphériques qui mobilisent le P minéral (Li et al., 2025)</w:t>
        <w:br/>
        <w:t>**Carbone** : décomposition anaérobie de la MOS, méthanogenèse (Reuter et al., 2023) et minéralisation anoxique via réaction de Fenton couplée à des enzymes ligninolytiques (Merino et al., 2020)</w:t>
      </w:r>
    </w:p>
    <w:p>
      <w:r>
        <w:t>## 6. Gestion agronomique du potentiel redox</w:t>
        <w:br/>
        <w:t>Les pratiques agricoles modulent directement le Eh(Husson, 2012) :</w:t>
        <w:br/>
        <w:t>**Labourage intensif** : aération ponctuelle, minéralisation accélérée(Samson, 2021) mais une compaction induisant anoxie localisée(Alletto et al., 2012)</w:t>
        <w:br/>
        <w:t>**Sans labour ou semis direct** : stabilisation structurale, meilleure infiltration(Al-Shammary et al., 2024) Eh plus stable(Husson, 2012)</w:t>
        <w:br/>
        <w:t>**Amendements organiques** (compost, bokashi, fumier) : apportent des donneurs d'électrons et rendent le sol plus réducteur en conditions humides (Dayo-Olagbende et al., 2022)</w:t>
        <w:br/>
        <w:t>**Cultures de couverture** : stimulent l'activité microbienne (Lucia et al., 2025)</w:t>
        <w:br/>
        <w:t>**Engrais azotés** : sont liés au Eh via nitrification-dénitrification (Yuan, 2020) (Itoh et al., 2013)</w:t>
        <w:br/>
        <w:t>Le suivi du Eh devient un outil d'évaluation de la santé du sol et de l'efficacité des pratiques régénératrices(Mattila, 2023)</w:t>
      </w:r>
    </w:p>
    <w:p>
      <w:r>
        <w:t>## Enrichissements :</w:t>
      </w:r>
    </w:p>
    <w:p>
      <w:r>
        <w:t>### 1. Limites méthodologiques et "Potentiel Mixte"</w:t>
        <w:br/>
        <w:t>Bien que le potentiel redox soit défini, le document omet les difficultés intrinsèques à sa mesure réelle sur le terrain.</w:t>
        <w:br/>
        <w:t>Le concept de potentiel mixte : Dans les sols, l'équilibre thermodynamique parfait n'est quasiment jamais atteint (Hure, 2004) L'Eh mesuré par une électrode de platine est souvent un "potentiel mixte", résultant de la somme de plusieurs réactions simultanées qui ne sont pas en équilibre entre elles (Schüring et al., 2000)</w:t>
        <w:br/>
        <w:t>Artefacts de mesure : La mesure est sensible à la température (qui induit des cycles diurnes de l'Eh jusqu'à 200 mV sans lien avec l'activité microbienne) et à la présence d'ondes électromagnétiques (Dorau et al., 2021; Rousselot, 2012)</w:t>
      </w:r>
    </w:p>
    <w:p>
      <w:r>
        <w:t>### 2. Distinction entre Intensité et Capacité Redox</w:t>
        <w:br/>
        <w:t>Votre document se concentre presque exclusivement sur l'intensité (l'Eh, analogue au pH), mais néglige la capacité redox (Pidello, 2003)</w:t>
        <w:br/>
        <w:t>La Capacité : C'est la réserve totale d'électrons ou d'accepteurs mobilisables dans le sol. Un sol peut avoir un Eh élevé mais une faible capacité redox, qui est définie comme la taille du pool d'électrons transférables (Pidello, 2003) le rendant ainsi moins résistant aux changements rapides de son état d'oxydation(Husson, 2012)</w:t>
        <w:br/>
        <w:t>Lien avec la MOS : Vous mentionnez la MOS comme tampon, mais il serait utile de préciser que sa "qualité" (fraîche vs humifiée) détermine cette capacité de résistance aux variations de potentiel (Husson, 2012)</w:t>
      </w:r>
    </w:p>
    <w:p>
      <w:r>
        <w:t>### 3. Paramètres avancés : rH2 et Homéostasie</w:t>
        <w:br/>
        <w:t>Pour un usage agronomique moderne (type "agriculture de conservation"), l'Eh seul est parfois jugé insuffisant car trop dépendant du pH(Cottes, 2019)</w:t>
        <w:br/>
        <w:t>Le rH2 : Ce paramètre (calculé par la formule ) permet de s'affranchir de l'influence du pH pour mesurer l'activité réelle des électrons(LeBaron &amp; Sharpe, 2022) 2012) Son introduction dans votre section 6 permettrait d'aborder la notion d'homéostasie du sol, essentielle pour la santé des plantes(Husson et al., 2021)</w:t>
        <w:br/>
        <w:t>Indice Ka : Vous pourriez mentionner l'indice Ka de distance à l'équilibre thermodynamique comme indicateur de la santé globale de l'écosystème (Loiret, 2013)</w:t>
      </w:r>
    </w:p>
    <w:p>
      <w:r>
        <w:t>### 4. Cinétiques et processus abiotiques au réhumectage</w:t>
        <w:br/>
        <w:t>Dans la section sur l'Effet Birch, l'analyse pourrait être affinée concernant la distinction entre biologie et chimie.</w:t>
        <w:br/>
        <w:t>Période de latence : Des études récentes montrent que lors d'un réhumectage, les microbes peuvent mettre plusieurs heures à se réactiver, alors qu'un pic de est détecté immédiatement (Liu et al., 2025)</w:t>
        <w:br/>
        <w:t>Prédominance abiotique : Ce pic initial est souvent dû à des processus abiotiques (oxydation chimique, dissolution de minéraux) plutôt qu'à la respiration microbienne immédiate (Liu et al., 2025) La précision de ce décalage temporel enrichirait la compréhension de la dynamique temporelle.</w:t>
      </w:r>
    </w:p>
    <w:p>
      <w:r>
        <w:t>### 5. Spécificités des types de sols et polluants</w:t>
        <w:br/>
        <w:t>Ce document aborde les sujets de manière générale. L'intégration de cas d'étude spécifiques permettrait d'approfondir l'analyse :</w:t>
        <w:br/>
        <w:t>Sols sulfatés acides : Le risque de formation d'acide sulfurique lors du drainage de sols anoxiques riches en pyrite () est un enjeu majeur de gestion redox non mentionné (Berkowitz &amp; VanZomeren, 2020)</w:t>
        <w:br/>
        <w:t>Bioremédiation : La thermodynamique redox régit également la dégradation des polluants organiques (déchloration réductrice)(Dolfing et al., 2012) et la mobilité des métalloïdes comme l'antimoine (), en plus de l'arsenic (Markelova, 2016)</w:t>
      </w:r>
    </w:p>
    <w:p>
      <w:r>
        <w:t>### Synthèse des points de vigilance</w:t>
        <w:br/>
        <w:t>### Le rH2 : Indice d'Activité Réelle des Électrons</w:t>
        <w:br/>
        <w:t>Le potentiel redox () est intrinsèquement lié au . Dans la plupart des sols, une variation d'une unité entraîne une variation inverse de l'Eh d'environ 59 mV (à 25°C)</w:t>
        <w:br/>
        <w:t>)(Neck et al., 2007) Pour évaluer l'état de réduction réel d'un système sans ce interférence électrochimique lié à l'acidité, on utilise le rH2.</w:t>
      </w:r>
    </w:p>
    <w:p>
      <w:r>
        <w:t>#### 1. Définition et Calcul</w:t>
        <w:br/>
        <w:t>Le rH2 représente la pression partielle d'hydrogène gazeux en équilibre avec le système. Il se calcule par la formule simplifiée suivante (pour une température de $25^\circ C$) :</w:t>
        <w:br/>
        <w:t>Eh : Potentiel d'oxydoréduction mesuré par rapport à l'électrode normale à hydrogène.</w:t>
        <w:br/>
        <w:t>pH : Potentiel hydrogène du sol.</w:t>
      </w:r>
    </w:p>
    <w:p>
      <w:r>
        <w:t>#### 2. Échelle de Valeurs et Signification Physique</w:t>
        <w:br/>
        <w:t>L'échelle du rH2 s'étend théoriquement de $0$ à $42$(LeBaron &amp; Sharpe, 2022) :</w:t>
        <w:br/>
        <w:t>: État de réduction maximale.</w:t>
        <w:br/>
        <w:t>: Point de neutralité redox (équilibre avec l'atmosphère sans excès d'oxydant ou de réducteur).</w:t>
        <w:br/>
        <w:t>: État d'oxydation maximale.</w:t>
      </w:r>
    </w:p>
    <w:p>
      <w:r>
        <w:t>#### 3. Intérêt Agronomique : Santé du Sol et de la Plante</w:t>
        <w:br/>
        <w:t>Le rH2 est souvent considéré comme un indicateur important de la santé des sols, car il permet de définir des "zones de confort" biologiques basées sur le pH et le potentiel redox(Mattila, 2023) :</w:t>
        <w:br/>
        <w:t>Homéostasie et Croissance : Les plantes et les micro-organismes bénéfiques (comme les champignons mycorhiziens) maintiennent activement leur milieu interne dans une fourchette de rH2 spécifique (milieu légèrement réduit) (Husson, 2012)</w:t>
        <w:br/>
        <w:t>Sensibilité aux Pathogènes : De nombreux pathogènes (champignons de type Fusarium ou bactéries telluriques) se développent préférentiellement dans des sols dont le rH2 est soit trop élevé (oxydation excessive/stress oxydatif), soit trop bas (anoxie sévère) (Dayo-Olagbende et al., 2019; Husson, 2012)</w:t>
        <w:br/>
        <w:t>Indice de Vitalité : Un sol capable de maintenir son rH2 stable malgré des apports d'engrais ou des variations d'humidité fait preuve d'une forte capacité tampon redox, signe d'une activité biologique robuste (Husson, 2012; Zhang &amp; Furman, 2020)</w:t>
      </w:r>
    </w:p>
    <w:p>
      <w:r>
        <w:t>#### 4. Application Pratique : L'Agriculture de Conservation</w:t>
        <w:br/>
        <w:t>Dans la gestion agronomique, le rH2 permet de caractériser les conditions du sol et de démontrer l'impact des systèmes d'agriculture de conservation (Chabert &amp; Sarthou, 2020) :</w:t>
        <w:br/>
        <w:t>Fertilisation : Certains engrais azotés (p. ex. : ammoniacaux versus nitriques) ont des impacts opposés sur le rH2(Husson, 2012) Le choix de la forme d'azote peut aider à "recadrer" le sol vers sa zone d'homéostasie(Cottes, 2019)</w:t>
        <w:br/>
        <w:t>Travail du sol : Le travail du sol influence les caractéristiques du sol; l'agriculture de conservation, telle que le semis direct sous couvert végétal, modifie de façon bénéfique le potentiel redox du sol, contrairement à l'agriculture conventionnelle qui inclut le labour brutal (Chabert &amp; Sarthou, 2016)</w:t>
      </w:r>
    </w:p>
    <w:p>
      <w:r>
        <w:t>### La Capacité Redox : Réserves et Résilience du Sol</w:t>
        <w:br/>
        <w:t>Si le potentiel redox () mesure l'intensité (la force avec laquelle les électrons sont mobilisés), la capacité redox mesure la quantité totale d'électrons ou d'accepteurs d'électrons disponibles dans le système (Pidello, 2003)</w:t>
      </w:r>
    </w:p>
    <w:p>
      <w:r>
        <w:t>#### 1. Distinction Intensité vs Capacité</w:t>
        <w:br/>
        <w:t>Pour mieux comprendre, on peut faire l'analogie avec l'acidité du sol :</w:t>
        <w:br/>
        <w:t>Le pH indique la concentration instantanée en protons ().</w:t>
        <w:br/>
        <w:t>Le Pouvoir Tampon indique la réserve de protons ou de bases capable de s'opposer à une variation de pH.</w:t>
        <w:br/>
        <w:t>De la même manière, un sol peut afficher un élevé (oxydé) mais posséder une très faible capacité redox(Husson, 2012) Dans ce cas, la moindre stagnation d'eau ou un léger apport de matière organique fraîche fera chuter le potentiel redox(Baqué, 2006) et al., 2024)</w:t>
      </w:r>
    </w:p>
    <w:p>
      <w:r>
        <w:t>#### 2. Les composantes de la capacité redox</w:t>
        <w:br/>
        <w:t>La capacité d'un sol à maintenir son état redox repose sur deux réservoirs principaux situés majoritairement dans la matrice solide du sol (Schüring et al., 2000) :</w:t>
        <w:br/>
        <w:t>Capacité d'Oxydation : Représente la réserve d'accepteurs d'électrons. Elle est principalement constituée par l'oxygène dissous, les nitrates, les oxydes de manganèse () et, quantitativement les plus importants, les oxyhydroxydes de fer ()(Hall et al., 2012) Un sol riche en fer et manganèse aura une forte capacité à "tamponner" la chute de l'Eh lors d'une inondation (Yuan et al., 2020)</w:t>
        <w:br/>
        <w:t>Capacité de Réduction : Représente la réserve de donneurs d'électrons. Elle est constituée par le fer ferreux (), mais surtout par la Matière Organique du Sol (Schüring et al., 2000) Le carbone organique labile agit comme le "carburant" (driving force) qui alimente les réactions de réduction(Schüring et al., 2000)</w:t>
      </w:r>
    </w:p>
    <w:p>
      <w:r>
        <w:t>#### 3. Le "Poising Capacity" ou Pouvoir Tampon</w:t>
        <w:br/>
        <w:t>Le pouvoir tampon redox (en anglais poising capacity) est maximal lorsque le couple redox dominant est présent en quantités égales sous ses deux formes (ex: / )(“Electrochemical Dictionary,” 2013)</w:t>
        <w:br/>
        <w:t>Dans les sols sains, la diversité des formes minéralogiques et la matière organique bien humifiée participent au tamponnement des potentiels redox(Markelova, 2016)</w:t>
        <w:br/>
        <w:t>À l'inverse, un sol sableux pauvre en humus aura une capacité tampon redox très faible : ses conditions redox seront instables et imprévisibles(Cissé &amp; Vachaud, 1988)</w:t>
      </w:r>
    </w:p>
    <w:p>
      <w:r>
        <w:t>#### 4. Importance pratique en agronomie</w:t>
        <w:br/>
        <w:t>La gestion de la capacité redox est un levier majeur pour la résilience des cultures(Cottes, 2019) :</w:t>
        <w:br/>
        <w:t>Résistance aux stress hydriques : Un sol avec une forte capacité redox (bonne teneur en MOS et en fer actif) subira des baisses de potentiel plus lentes lors d'un excès d'eau saisonnier, protégeant ainsi les racines de la toxicité du fer ou du manganèse(Niknahad et al., 2007; Yuan et al., 2020)</w:t>
        <w:br/>
        <w:t>Disponibilité des nutriments : Le tamponnement redox régule la solubilisation du phosphore (souvent lié au fer) et la mobilité des oligo-éléments. Un sol bien tamponné offre une nutrition plus régulière (Cottes, 2019)</w:t>
        <w:br/>
        <w:t>Santé des plantes :</w:t>
        <w:br/>
        <w:t>References</w:t>
        <w:br/>
        <w:t>Alletto, L., Benoît, P., Bolognesi, B., Bergheaud, V., Dumeny, V., Longueval, C., &amp; Barriuso, E. (2012). Adsorption et minéralisation du S-métolachlore (herbicide) en techniques de conservation des sols. HAL (Le Centre Pour La Communication Scientifique Directe). https://hal.science/hal-01019875</w:t>
        <w:br/>
        <w:t>Al-Shammary, A. A. G., Al-Shihmani, L. S. S., Fernández‐Gálvez, J., &amp; Caballero‐Calvo, A. (2024). Optimizing sustainable agriculture: A comprehensive review of agronomic practices and their impacts on soil attributes. Journal of Environmental Management, 364, 121487. https://doi.org/10.1016/j.jenvman.2024.121487</w:t>
        <w:br/>
        <w:t>Baqué, D. (2006). The anthropogenic perturbations of the hydrographical network of the Garonne basin’s, cases of metals and nitrates. HAL (Le Centre Pour La Communication Scientifique Directe). https://tel.archives-ouvertes.fr/tel-00128208</w:t>
        <w:br/>
        <w:t>Berkowitz, J., &amp; VanZomeren, C. M. (2020). Evaluation of iron sulfide soil formation following coastal marsh restoration – observations from three case studies. https://doi.org/10.21079/11681/35275</w:t>
        <w:br/>
        <w:t>Bogeski, I., Kappl, R., Kummerow, C., Gulaboski, R., Hoth, M., &amp; Niemeyer, B. A. (2011). Redox regulation of calcium ion channels: Chemical and physiological aspects [Review of Redox regulation of calcium ion channels: Chemical and physiological aspects]. Cell Calcium, 50(5), 407. Elsevier BV. https://doi.org/10.1016/j.ceca.2011.07.006</w:t>
        <w:br/>
        <w:t>Caurel, C. (2019). Experimental monitoring of trace elements (Cr, Cu, Pb, As) mobility at a bimodal porous media scale : microbial activity impact and location. HAL (Le Centre Pour La Communication Scientifique Directe). https://theses.hal.science/tel-02968115</w:t>
        <w:br/>
        <w:t>Chabert, A., &amp; Sarthou, J. (2016). Combined expression of ecosystem services under conventional, organic and conservation agricultures: study of agro-ecological determinants. HAL (Le Centre Pour La Communication Scientifique Directe). https://hal.inrae.fr/hal-02739177</w:t>
        <w:br/>
        <w:t>Chabert, A., &amp; Sarthou, J. (2020). Conservation agriculture as a promising trade-off between conventional and organic agriculture in bundling ecosystem services. Agriculture Ecosystems &amp; Environment, 292, 106815. https://doi.org/10.1016/j.agee.2019.106815</w:t>
        <w:br/>
        <w:t>Chen, Q., Tang, K., Zhai, W., Zhu, ⎜Zhuoyi, Yang, J. T., He, Z., Li, M., Kao, S., Yang, J., Zheng, Q., Lønborg, C., Thomas, H., &amp; Jiao, N. (2025). Microbial responses to ocean deoxygenation: Revisiting the impacts on organic carbon cycling. iScience, 28(7), 112826. https://doi.org/10.1016/j.isci.2025.112826</w:t>
        <w:br/>
        <w:t>Cissé, L., &amp; Vachaud, G. (1988). Influence d’apports de matière organique sur la culture de mil et d’arachide sur un sol sableux du Nord-Sénégal. I. -- Bilans de consommation, production et développement racinaire. HAL (Le Centre Pour La Communication Scientifique Directe). https://hal.archives-ouvertes.fr/hal-00885105</w:t>
        <w:br/>
        <w:t>Cottes, J. J.-G. (2019). The soil redox potential (Eh) : its measurement, its impact on the mobility of nutrients and the growth of sunflower. HAL (Le Centre Pour La Communication Scientifique Directe). https://theses.hal.science/tel-04168569</w:t>
        <w:br/>
        <w:t>Dayo-Olagbende, O. G., ADEJORO, S. A., &amp; Ewulo, B. S. (2022). Effect of Nutrient Sources and Their Interactions on Soil Oxidation-Reduction Reaction under Field Capacity and Waterlogged Conditions. Trends in Agricultural Sciences, 1(1), 19. https://doi.org/10.17311/tas.2022.19.27</w:t>
        <w:br/>
        <w:t>Dayo-Olagbende, O. G., Adejoro, S. A., Ewulo, B. S., &amp; Awodun, M. (2019). Effects of Oxidation-Reduction Potentials on Soil Microbes. Agricultura, 16, 35. https://doi.org/10.18690/agricultura.16.1-2.35-42.2019</w:t>
        <w:br/>
        <w:t>Delattre, H. (2018). How do energy gradients shape microbial communities? Study of the Microbial Transition State (MTS) approach for modelling microbial ecosystems dynamics and its application to environmental biotechnology processes. HAL (Le Centre Pour La Communication Scientifique Directe). https://pastel.hal.science/tel-03392364</w:t>
        <w:br/>
        <w:t>Dolfing, J., Novak, I., Archelas, A., &amp; Macarie, H. (2012). Gibbs Free Energy of Formation of Chlordecone and Potential Degradation Products: Implications for Remediation Strategies and Environmental Fate. Environmental Science &amp; Technology, 46(15), 8131. https://doi.org/10.1021/es301165p</w:t>
        <w:br/>
        <w:t>Dorau, K., Bohn, B., Weihermüller, L., &amp; Mansfeldt, T. (2021). Temperature-induced diurnal redox potential in soil. Environmental Science Processes &amp; Impacts, 23(11), 1782. https://doi.org/10.1039/d1em00254f</w:t>
        <w:br/>
        <w:t>Dorau, K., Zanger, T., Bolten, A., &amp; Mansfeldt, T. (2024). Soil redox maps: assessment of small field-scale redox zonation by Mn and Fe oxide-coated IRIS films. Journal of Soils and Sediments, 24(3), 1206. https://doi.org/10.1007/s11368-023-03705-6</w:t>
        <w:br/>
        <w:t>Drapeau, C. (2018). Measure and modeling of the release and speciation of majors and metal trace element in complex contaminated matrices with pH : cases of urban sediments and mining wastes. HAL (Le Centre Pour La Communication Scientifique Directe). https://tel.archives-ouvertes.fr/tel-02335249</w:t>
        <w:br/>
        <w:t>Electrochemical dictionary. (2013). Choice Reviews Online, 50(8), 50. https://doi.org/10.5860/choice.50-4185</w:t>
        <w:br/>
        <w:t>Garnier, F. (2012). Contribution to the biogeochemical evaluation of the impacts related to the geothermic exploitation of the near-surface aquifers: Experiments and simulations on a pilot and real installation scale. HAL (Le Centre Pour La Communication Scientifique Directe). https://theses.hal.science/tel-00910204</w:t>
        <w:br/>
        <w:t>Gu, S. (2017). Release of dissolved and colloidal phosphorus from riparian wetlands : a field and laboratory assessment of the mechanisms and controlling factors. HAL (Le Centre Pour La Communication Scientifique Directe). https://theses.hal.science/tel-01696078</w:t>
        <w:br/>
        <w:t>Hall, S. J., McDowell, W. H., &amp; Silver, W. L. (2012). When Wet Gets Wetter: Decoupling of Moisture, Redox Biogeochemistry, and Greenhouse Gas Fluxes in a Humid Tropical Forest Soil. Ecosystems, 16(4), 576. https://doi.org/10.1007/s10021-012-9631-2</w:t>
        <w:br/>
        <w:t>Hinimbio, T. P. (2019). Soils fertility rehabilitation by use of bioresources (Crotalaria juncea L. and Brachiaria ruziziensis G.&amp;E.) in cotton zone of Far-North Cameroon. HAL (Le Centre Pour La Communication Scientifique Directe). https://tel.archives-ouvertes.fr/tel-02305183</w:t>
        <w:br/>
        <w:t>Hure, A. (2004). Modeling of natural attenuation of chlorinated solvents in aquifers, downstream of industrial polluted sites. HAL (Le Centre Pour La Communication Scientifique Directe). https://tel.archives-ouvertes.fr/tel-00011117</w:t>
        <w:br/>
        <w:t>Husson, O. (2012). Redox potential (Eh) and pH as drivers of soil/plant/microorganism systems: a transdisciplinary overview pointing to integrative opportunities for agronomy. Plant and Soil, 362, 389. https://doi.org/10.1007/s11104-012-1429-7</w:t>
        <w:br/>
        <w:t>Husson, O., Sarthou, J., Bousset, L., Ratnadass, A., Schmidt, H., Kempf, J., Husson, B., Tingry, S., Aubertot, J., Deguine, J., Goebel, F.-R., &amp; Lamichhane, J. R. (2021). Soil and plant health in relation to dynamic sustainment of Eh and pH homeostasis: A review. Plant and Soil, 466, 391. https://doi.org/10.1007/s11104-021-05047-z</w:t>
        <w:br/>
        <w:t>Itoh, H., Ishii, S., Shiratori, Y., Oshima, K., Otsuka, S., Hattori, M., &amp; Senoo, K. (2013). Seasonal Transition of Active Bacterial and Archaeal Communities in Relation to Water Management in Paddy Soils. Microbes and Environments, 28(3), 370. https://doi.org/10.1264/jsme2.me13030</w:t>
        <w:br/>
        <w:t>Lacroix, E. M., Aeppli, M., Boye, K., Brodie, E., Fendorf, S., Keiluweit, M., Naughton, H., Noël, V., &amp; Sihi, D. (2023). Consider the Anoxic Microsite: Acknowledging and Appreciating Spatiotemporal Redox Heterogeneity in Soils and Sediments. ACS Earth and Space Chemistry, 7(9), 1592. https://doi.org/10.1021/acsearthspacechem.3c00032</w:t>
        <w:br/>
        <w:t>Lagauzère, S. (2008). Influence of benthic macro-invertebrate bioturbation on the biogeochemical behaviour of uranium within freshwater sediments. HAL (Le Centre Pour La Communication Scientifique Directe). https://asnr.hal.science/tel-04344113</w:t>
        <w:br/>
        <w:t>LeBaron, T. W., &amp; Sharpe, R. (2022). ORP should not be used to estimate or compare concentrations of aqueous H2: An in silico analysis and narrative synopsis. Frontiers in Food Science and Technology, 2. https://doi.org/10.3389/frfst.2022.1007001</w:t>
        <w:br/>
        <w:t>Li, C., Sheng, H., Tan, M., Dai, H., Wang, X., Xu, H., Ding, S., &amp; Zhao, G. (2025). Rhythmic radial oxygen loss enhances soil phosphorus bioavailability. Nature Communications, 16(1), 4413. https://doi.org/10.1038/s41467-025-59637-x</w:t>
        <w:br/>
        <w:t>Liu, F., Zhu, K., Wang, Z., Yang, H., Ni, Z., Ding, Y., Zheng, Y., Weng, J., Wang, Y., &amp; Jia, H. (2025). Abiotic processes dominate short-term carbon emissions in sandy soils following rewetting. Communications Earth &amp; Environment, 6(1). https://doi.org/10.1038/s43247-025-02733-z</w:t>
        <w:br/>
        <w:t>Loiret, R. (2013). L’indice Ka de distance à l’équilibre et la diversité biologique. HAL (Le Centre Pour La Communication Scientifique Directe). https://hal.archives-ouvertes.fr/hal-01025400</w:t>
        <w:br/>
        <w:t>Lombard, N. (2007). Metagenomic Approaches in Soil Microbiology: Optimisation of Classical Technics and Development of an Alternative Approach by Gene Trap in a Recipient Strain. . HAL (Le Centre Pour La Communication Scientifique Directe). https://theses.hal.science/tel-01211276</w:t>
        <w:br/>
        <w:t>Lucia, C., Laudicina, V. A., Paliaga, S., Gristina, L., &amp; Muscarella, S. M. (2025). Response of Soil Microbial Biomass and Activity to Cover Crop Incorporation Methods. Agronomy, 15(11), 2504. https://doi.org/10.3390/agronomy15112504</w:t>
        <w:br/>
        <w:t>Markelova, E. (2016). Redox potential and mobility of contaminant oxyanions (As, Sb, Cr) in argillaceous rock subjected to oxic and anoxic cycles. HAL (Le Centre Pour La Communication Scientifique Directe). https://tel.archives-ouvertes.fr/tel-01561003</w:t>
        <w:br/>
        <w:t>Mattila, T. (2023). Redox potential as a soil health indicator – how does it compare to microbial activity and soil structure? Plant and Soil, 494, 617. https://doi.org/10.1007/s11104-023-06305-y</w:t>
        <w:br/>
        <w:t>Merino, C., Kuzyakov, Y., Godoy, K., Cornejo, P., &amp; Matus, F. (2020). Synergy effect of peroxidase enzymes and Fenton reactions greatly increase the anaerobic oxidation of soil organic matter. Scientific Reports, 10(1). https://doi.org/10.1038/s41598-020-67953-z</w:t>
        <w:br/>
        <w:t>Microbial Electrochemical Technologies. (2023). In Wiley eBooks. Wiley. https://doi.org/10.1002/9783527839001</w:t>
        <w:br/>
        <w:t>Mostajir, B., Amblard, C., Buffan‐Dubau, E., Wit, R. de, Lensi, R., &amp; Sime‐Ngando, T. (2012). LES RÉSEAUX TROPHIQUES MICROBIENS DES MILIEUX AQUATIQUES ET TERRESTRES. HAL (Le Centre Pour La Communication Scientifique Directe). https://hal.science/hal-00848692</w:t>
        <w:br/>
        <w:t>Neck, V., Altmaier, M., &amp; Fanghänel, T. (2007). Solubility of plutonium hydroxides/hydrous oxides under reducing conditions and in the presence of oxygen. Comptes Rendus Chimie, 10, 959. https://doi.org/10.1016/j.crci.2007.02.011</w:t>
        <w:br/>
        <w:t>Neira-Román, J., Ortiz, M., Morales, L., &amp; Acevedo, E. (2015). Oxygen diffusion in soils: Understanding the factors and processes needed for modeling. Chilean Journal of Agricultural Research, 75, 35. https://doi.org/10.4067/s0718-58392015000300005</w:t>
        <w:br/>
        <w:t>Niknahad, H., Slezack‐Deschaumes, S., Piutti, S., Machet, J.-M. J.-M., &amp; Recous, S. (2007). Etude de la dynamique du soufre dans le sol associée à la décomposition des résidus végétaux. HAL (Le Centre Pour La Communication Scientifique Directe). https://hal.inrae.fr/hal-02756969</w:t>
        <w:br/>
        <w:t>Noël, V., Boye, K., Naughton, H., Lacroix, E. M., Aeppli, M., Kumar, N., Fendorf, S., &amp; Webb, S. M. (2024). X-ray chemical imaging for assessing redox microsites within soils and sediments. Frontiers in Environmental Chemistry, 5. https://doi.org/10.3389/fenvc.2024.1329887</w:t>
        <w:br/>
        <w:t>Parrello, D. (2014). Multicolour whole-cell bacterial sensors for in vivo identification of bio-physicochemical interactions in mineral-bacteria systems. HAL (Le Centre Pour La Communication Scientifique Directe). https://hal.univ-lorraine.fr/tel-01751812</w:t>
        <w:br/>
        <w:t>Payandi-Rolland, D. (2020). Biogeochemistry of organic carbon in permafrost peatland waters : an experimental approach. HAL (Le Centre Pour La Communication Scientifique Directe). https://theses.hal.science/tel-03236081</w:t>
        <w:br/>
        <w:t>Pett‐Ridge, J., &amp; Firestone, M. K. (2005). Redox Fluctuation Structures Microbial Communities in a Wet Tropical Soil. Applied and Environmental Microbiology, 71(11), 6998. https://doi.org/10.1128/aem.71.11.6998-7007.2005</w:t>
        <w:br/>
        <w:t>Pidello, A. (2003). Environmental Redox Potential and Redox Capacity Concepts Using a Simple Polarographic Experiment. Journal of Chemical Education, 80(1), 68. https://doi.org/10.1021/ed080p68</w:t>
        <w:br/>
        <w:t>Rabot, É., Wiesmeier, M., Schlüter, S., &amp; Vogel, H. J. (2017). Soil structure as an indicator of soil functions: A review [Review of Soil structure as an indicator of soil functions: A review]. Geoderma, 314, 122. Elsevier BV. https://doi.org/10.1016/j.geoderma.2017.11.009</w:t>
        <w:br/>
        <w:t>Reuter, J., Reuter, H., &amp; Žák, D. (2023). Decomposition of lignin and carbohydrates in a rewetted peatland: a comparative analysis of surface water and anaerobic soil layers. Biogeochemistry, 167(4), 545. https://doi.org/10.1007/s10533-023-01102-2</w:t>
        <w:br/>
        <w:t>Rotiroti, M., Bonomi, T., Sacchi, E., McArthur, J. M., Jakobsen, R., Sciarra, A., Etiope, G., Zanotti, C., Nava, V., Fumagalli, L., &amp; Leoni, B. (2020). Overlapping redox zones control arsenic pollution in Pleistocene multi-layer aquifers, the Po Plain (Italy). The Science of The Total Environment, 758, 143646. https://doi.org/10.1016/j.scitotenv.2020.143646</w:t>
        <w:br/>
        <w:t>Rousselot, S. (2012). Mise au point de la méthode de mesure de trois paramètres du sol : pH, potentiel d’oxydoréduction et résistivité. HAL (Le Centre Pour La Communication Scientifique Directe). https://hal.archives-ouvertes.fr/hal-01210089</w:t>
        <w:br/>
        <w:t>Sahrawat, K. L. (2004). Iron Toxicity in Wetland Rice and the Role of Other Nutrients. Journal of Plant Nutrition, 27(8), 1471. https://doi.org/10.1081/pln-200025869</w:t>
        <w:br/>
        <w:t>Samson, M.-É. (2021). Agronomic and environmental effect of soil conservation management practices in field crops production : Crop yield and soil carbon and nitrogen dynamics. HAL (Le Centre Pour La Communication Scientifique Directe). https://tel.archives-ouvertes.fr/tel-03609144</w:t>
        <w:br/>
        <w:t>Schlüter, S., Lucas, M., Grosz, B., Ippisch, O., Zawallich, J., He, H., Dechow, R., Kraus, D., Blagodatsky, S., Şenbayram, M., Kravchenko, A., Vogel, H. J., &amp; Well, R. (2024). The anaerobic soil volume as a controlling factor of denitrification: a review [Review of The anaerobic soil volume as a controlling factor of denitrification: a review]. Biology and Fertility of Soils. Springer Science+Business Media. https://doi.org/10.1007/s00374-024-01819-8</w:t>
        <w:br/>
        <w:t>Schüring, J., Schulz, H. D., Fischer, W., Böttcher, J., &amp; Duijnisveld, W. H. M. (2000). Redox: fundamentals, processes, and applications. Choice Reviews Online, 38(1), 38. https://doi.org/10.5860/choice.38-0300</w:t>
        <w:br/>
        <w:t>Sipos, P., Kovács, I., Barna, G., Tóth, A., Makó, A., Palcsu, L., Kiss, G. I., Horváth, A., &amp; Puskás-Preszner, A. (2022). Iron isotope fractionation during the formation of ferromanganese nodules under different conditions of hydromorphism. Geoderma, 430, 116286. https://doi.org/10.1016/j.geoderma.2022.116286</w:t>
        <w:br/>
        <w:t>Thullner, M., &amp; Regnier, P. (2019). Microbial Controls on the Biogeochemical Dynamics in the Subsurface. Reviews in Mineralogy and Geochemistry, 85(1), 265. https://doi.org/10.2138/rmg.2019.85.9</w:t>
        <w:br/>
        <w:t>Turkeltaub, T., Furman, A., Mannheim, R., &amp; Weisbrod, N. (2022). Continuous monitoring of a soil aquifer treatment system’s physico-chemical conditions to optimize operational performance. Hydrology and Earth System Sciences, 26(6), 1565. https://doi.org/10.5194/hess-26-1565-2022</w:t>
        <w:br/>
        <w:t>Wagner, D. (2017). Effect of varying soil water potentials on methanogenesis in aerated marshland soils. Scientific Reports, 7(1). https://doi.org/10.1038/s41598-017-14980-y</w:t>
        <w:br/>
        <w:t>Yuan, Y. (2020). Investigating influence of nitrogen dynamics and hydroperiod on GHG emissions in Great Lakes coastal wetlands using a simulation model. Deep Blue (University of Michigan). https://hdl.handle.net/2027.42/163334</w:t>
        <w:br/>
        <w:t>Yuan, Z., Gustave, W., Boyle, J., Sekar, R., Bridge, J., Ren, Y., Tang, X., Guo, B., &amp; Chen, Z. (2020). Arsenic behavior across soil-water interfaces in paddy soils: Coupling, decoupling and speciation. Chemosphere, 269, 128713. https://doi.org/10.1016/j.chemosphere.2020.128713</w:t>
        <w:br/>
        <w:t>Zhang, Z., &amp; Furman, A. (2020). Soil redox dynamics under dynamic hydrologic regimes - A review. The Science of The Total Environment, 763, 143026. https://doi.org/10.1016/j.scitotenv.2020.143026</w:t>
        <w:br/>
        <w:t>Zheng, Z. (2019). Extracellular Electron Transfer of S. oneidensis MR 1: Fundamentals and Applications. Research Portal Denmark, 150. https://local.forskningsportal.dk/local/dki-cgi/ws/cris-link?src=dtu&amp;id=dtu-e05c7d2d-5b11-49f0-8cd1-07d065c09a20&amp;ti=Extracellular%20Electron%20Transfer%20of%20S.%20oneidensis%20MR%201%3A%20Fundamentals%20and%20Applications</w:t>
        <w:br/>
        <w:t>Zouaoui, F. (2020). Modeling and optimization of biosensors used in environmental analysis. HAL (Le Centre Pour La Communication Scientifique Directe). https://tel.archives-ouvertes.fr/tel-03293419</w:t>
      </w:r>
    </w:p>
    <w:p>
      <w:pPr>
        <w:jc w:val="center"/>
      </w:pPr>
      <w:r>
        <w:rPr>
          <w:color w:val="999999"/>
          <w:sz w:val="18"/>
        </w:rPr>
        <w:t>────────────────────────────────────────</w:t>
      </w:r>
    </w:p>
    <w:p>
      <w:pPr>
        <w:pStyle w:val="Heading1"/>
      </w:pPr>
      <w:r>
        <w:t>I. Fondements de l'ACS</w:t>
      </w:r>
    </w:p>
    <w:p>
      <w:pPr>
        <w:pStyle w:val="Heading2"/>
      </w:pPr>
      <w:r>
        <w:t>1.1 Définition, histoire et diffusion mondiale</w:t>
      </w:r>
    </w:p>
    <w:p>
      <w:r>
        <w:t>L'ACS est définie par la FAO : non-labour, couverture permanente, diversification. Historique depuis Edward Faulkner (1943) et Masanobu Fukuoka. Diffusion mondiale : 200M ha.</w:t>
      </w:r>
    </w:p>
    <w:p>
      <w:r>
        <w:t>Validation directe des 3 piliers ACS par le cadre coévolutif. Design Principle 5 (Box 2 Shelake) : maintenir une demande nutritionnelle pour préserver les mutualismes. Sur-fertilisation désactive les symbioses N-fixatrices : seuils P/N où le coût C du mutualisme dépasse le bénéfice nutritionnel (H1). Sur P élevé, AMF devient 'C drain' parasitaire (Püschel 2016). Sur N riche, rhizobium bascule saprophyte (Klinger 2016). Redondance fonctionnelle + diversité géographique = résilience (H5) : les SynComs minimalistes échouent en champ (Fonseca-García 2024), les consortia redondants persistent. Rotation et couverts multi-espèces = SynCom naturel auto-assemblé avec keystones + redondance.</w:t>
      </w:r>
    </w:p>
    <w:p>
      <w:r>
        <w:t>Validation directe des 3 piliers ACS par le cadre coévolutif. Design Principle 5 (Box 2 Shelake) : maintenir une demande nutritionnelle pour préserver les mutualismes. Sur-fertilisation désactive symbioses N-fixatrices : seuils P/N où coût C &gt; bénéfice nutritionnel (H1). Sur P élevé, AMF devient 'C drain' parasitaire (Püschel 2016). Sur N riche, rhizobium bascule saprophyte (Klinger 2016). Redondance fonctionnelle + diversité géographique = résilience (H5) : SynComs minimalistes échouent en champ (Fonseca-García 2024). Rotation et couverts multi-espèces = SynCom naturel.</w:t>
      </w:r>
    </w:p>
    <w:p/>
    <w:p>
      <w:r>
        <w:t>→ L'ACS (Agriculture de Conservation des Sols) repose sur 3 piliers : (1) non-labour (2) couverture permanente du sol (3) rotation diversifiée. Ces 3 piliers sont synergiques — en retirer un réduit drastiquement les bénéfices.</w:t>
        <w:br/>
        <w:t>→ Historique : Edward Faulkner (1943) « Plowman's Folly », Masanobu Fukuoka (1975) « La Révolution d'un seul brin de paille », Lucien Seguy (CIRAD, 1970s) au Brésil. L'ACS n'est pas nouvelle — elle est redécouverte après 70 ans d'oubli.</w:t>
        <w:br/>
        <w:t>→ Diffusion mondiale : 200 millions d'hectares en ACS (2020), principalement en Amérique (Brésil, Argentine, USA). En France : &lt; 5% des surfaces. Le frein principal : le « faux plat » des premières années.</w:t>
      </w:r>
    </w:p>
    <w:p>
      <w:pPr>
        <w:jc w:val="center"/>
      </w:pPr>
      <w:r>
        <w:rPr>
          <w:color w:val="999999"/>
          <w:sz w:val="18"/>
        </w:rPr>
        <w:t>────────────────────────────────────────</w:t>
      </w:r>
    </w:p>
    <w:p>
      <w:pPr>
        <w:pStyle w:val="Heading2"/>
      </w:pPr>
      <w:r>
        <w:t>1.2 Le changement de paradigme : de la mécanique au biologique</w:t>
      </w:r>
    </w:p>
    <w:p>
      <w:r>
        <w:t>Le changement de paradigme : passer de la gestion mécanique du sol (labour, compaction, érosion) à la gestion biologique (vers de terre, champignons, couverts). Le sol comme organisme vivant, pas comme substrat.</w:t>
      </w:r>
    </w:p>
    <w:p/>
    <w:p>
      <w:r>
        <w:t>→ Le changement de paradigme : de la mécanique au biologique. L'agriculture conventionnelle cherche le sol comme un support INERTE à fertiliser. L'ACS considère le sol comme un organisme VIVANT à nourrir.</w:t>
        <w:br/>
        <w:t>→ Le labour = pensée mécaniste (Descartes : le sol est une machine). Le non-labour = pensée systémique (le sol est un écosystème). Le changement de paradigme est aussi philosophique que technique.</w:t>
        <w:br/>
        <w:t>→ La bascule performance → robustesse (Hamant) : le labour maximise le rendement immédiat (minéralisation forcée de la MO). Le non-labour accepte la contreperformance initiale pour la résilience à long terme.</w:t>
      </w:r>
    </w:p>
    <w:p>
      <w:pPr>
        <w:jc w:val="center"/>
      </w:pPr>
      <w:r>
        <w:rPr>
          <w:color w:val="999999"/>
          <w:sz w:val="18"/>
        </w:rPr>
        <w:t>────────────────────────────────────────</w:t>
      </w:r>
    </w:p>
    <w:p>
      <w:pPr>
        <w:pStyle w:val="Heading1"/>
      </w:pPr>
      <w:r>
        <w:t>II. Non-labour</w:t>
      </w:r>
    </w:p>
    <w:p>
      <w:pPr>
        <w:pStyle w:val="Heading2"/>
      </w:pPr>
      <w:r>
        <w:t>2.1 Ce que le non-labour préserve</w:t>
      </w:r>
    </w:p>
    <w:p>
      <w:r>
        <w:t>Le non-labour préserve : les galeries de vers, le réseau mycorhizien, la stratification de la MO, les agrégats, la faune. Chaque passage de charrue détruit des années de construction biologique.</w:t>
      </w:r>
    </w:p>
    <w:p/>
    <w:p>
      <w:r>
        <w:t>→ Ce que le non-labour préserve : (1) les galeries de vers de terre (macroporosité, Ksat ×10) (2) le réseau mycorhizien (CMA, accès eau + P) (3) les agrégats et le carbone occlus (4) la stratification naturelle des horizons (gradient redox).</w:t>
        <w:br/>
        <w:t>→ Un seul passage de charrue détruit 3-5 ans de construction biologique : galeries bouchées, hyphes sectionnés, agrégats éclatés, carbone occlus exposé. Le coût réel du labour n'est pas le gas-oil — c'est la destruction du capital biologique.</w:t>
        <w:br/>
        <w:t>→ L'effet du non-labour sur le carbone : +0.3 à +0.8 tC/ha/an de séquestration nette (méta-analyses). Sur 20 ans = 6-16 tC/ha = 22-59 tCO₂eq/ha. À 30 €/tCO₂, c'est 660-1770 €/ha de valeur carbone.</w:t>
      </w:r>
    </w:p>
    <w:p>
      <w:pPr>
        <w:jc w:val="center"/>
      </w:pPr>
      <w:r>
        <w:rPr>
          <w:color w:val="999999"/>
          <w:sz w:val="18"/>
        </w:rPr>
        <w:t>────────────────────────────────────────</w:t>
      </w:r>
    </w:p>
    <w:p>
      <w:pPr>
        <w:pStyle w:val="Heading2"/>
      </w:pPr>
      <w:r>
        <w:t>2.2 Gestion du désherbage sans labour</w:t>
      </w:r>
    </w:p>
    <w:p>
      <w:r>
        <w:t>Le désherbage sans labour : faux-semis, occultation (bâchage), roulage-crimpage, couverts étouffants, désherbage mécanique de surface.</w:t>
      </w:r>
    </w:p>
    <w:p/>
    <w:p>
      <w:r>
        <w:t>→ Le désherbage sans labour est le DÉFI TECHNIQUE majeur de l'ACS. Quatre stratégies : (1) couverts étouffants (seigle/vesce, 8-12 t MS/ha) (2) roulage-crimpage (destruction mécanique sans retournement) (3) herbicide de contact (glyphosate, controversé) (4) faux semis.</w:t>
        <w:br/>
        <w:t>→ Le mulch de couvert détruit supprime 70-90% des adventices par effet physique (lumière bloquée) + allélopathie (composés inhibiteurs du seigle : benzoxazinoïdes). C'est un « herbicide biologique » gratuit.</w:t>
        <w:br/>
        <w:t>→ La question du glyphosate en ACS : c'est le dilemme éthique. Le non-labour sans glyphosate est possible (couverts + roulage + faux semis) mais plus exigeant techniquement. Le labour sans glyphosate est la norme mais détruit le sol. Aucune option n'est parfaite.</w:t>
      </w:r>
    </w:p>
    <w:p>
      <w:pPr>
        <w:jc w:val="center"/>
      </w:pPr>
      <w:r>
        <w:rPr>
          <w:color w:val="999999"/>
          <w:sz w:val="18"/>
        </w:rPr>
        <w:t>────────────────────────────────────────</w:t>
      </w:r>
    </w:p>
    <w:p>
      <w:pPr>
        <w:pStyle w:val="Heading1"/>
      </w:pPr>
      <w:r>
        <w:t>III. Couverts végétaux</w:t>
      </w:r>
    </w:p>
    <w:p>
      <w:pPr>
        <w:pStyle w:val="Heading2"/>
      </w:pPr>
      <w:r>
        <w:t>3.1 Types de couverts et choix agronomique</w:t>
      </w:r>
    </w:p>
    <w:p>
      <w:r>
        <w:t>Les couverts végétaux sont le deuxième pilier : ils nourrissent le sol, protègent la surface, pompent les nutriments en profondeur. Le choix des espèces détermine les services rendus. Lien avec le microbiome fongique (couverts mycorhizogènes et CMN).</w:t>
      </w:r>
    </w:p>
    <w:p/>
    <w:p>
      <w:r>
        <w:t>→ Types de couverts : (1) hivernaux (seigle, vesce, trèfle — protègent le sol l'hiver) (2) estivaux (sorgho, tournesol — structure + biomasse) (3) multi-espèces (8-15 espèces — diversité fonctionnelle maximale).</w:t>
        <w:br/>
        <w:t>→ Les mélanges multi-espèces sont SUPÉRIEURS aux couverts mono-spécifiques : plus de biomasse (+20-40%), plus de diversité racinaire (recrutement microbien diversifié), plus de services (fixation N + décompaction + P mining + CMA).</w:t>
        <w:br/>
        <w:t>→ Le choix du couvert dépend du diagnostic : sol compacté → radis fourrager + féverole (pivots). Faible N → trèfle + vesce (légumineuses). Faible MO → seigle + avoine (biomasse C élevée). Carence P → sarrasin + lupin (P mining).</w:t>
      </w:r>
    </w:p>
    <w:p>
      <w:pPr>
        <w:jc w:val="center"/>
      </w:pPr>
      <w:r>
        <w:rPr>
          <w:color w:val="999999"/>
          <w:sz w:val="18"/>
        </w:rPr>
        <w:t>────────────────────────────────────────</w:t>
      </w:r>
    </w:p>
    <w:p>
      <w:pPr>
        <w:pStyle w:val="Heading2"/>
      </w:pPr>
      <w:r>
        <w:t>3.2 Roulage-crimpage : destruction sans labour</w:t>
      </w:r>
    </w:p>
    <w:p>
      <w:r>
        <w:t>Le roulage-crimpage est la destruction mécanique du couvert sans retournement du sol. Il crée un paillage in situ. Technique clé de la transition ACS.</w:t>
      </w:r>
    </w:p>
    <w:p/>
    <w:p>
      <w:r>
        <w:t>→ Le roulage-crimpage (roller-crimper) : un rouleau de 2-3 tonnes aplatit et plie le couvert sans le couper. Le couvert meurt par interruption vasculaire et forme un mulch de 8-15 t MS/ha directement en place.</w:t>
        <w:br/>
        <w:t>→ Conditions de réussite : le couvert doit être à floraison (seigle) ou début grenaison (vesce) pour que le crimpage soit létal. Trop tôt = repousse. Trop tard = graines viables (adventice l'année suivante).</w:t>
        <w:br/>
        <w:t>→ Le semis direct dans le mulch crimpé : le semoir à disques coupe le mulch et dépose la graine en contact avec le sol. Le mulch conserve l'humidité (suppression évaporation 50-70%) et supprime les adventices (barrière physique + allélopathie).</w:t>
      </w:r>
    </w:p>
    <w:p>
      <w:pPr>
        <w:jc w:val="center"/>
      </w:pPr>
      <w:r>
        <w:rPr>
          <w:color w:val="999999"/>
          <w:sz w:val="18"/>
        </w:rPr>
        <w:t>────────────────────────────────────────</w:t>
      </w:r>
    </w:p>
    <w:p>
      <w:pPr>
        <w:pStyle w:val="Heading1"/>
      </w:pPr>
      <w:r>
        <w:t>IV. Diversification</w:t>
      </w:r>
    </w:p>
    <w:p>
      <w:pPr>
        <w:pStyle w:val="Heading2"/>
      </w:pPr>
      <w:r>
        <w:t>4.1 Rotations et diversification des cultures</w:t>
      </w:r>
    </w:p>
    <w:p>
      <w:r>
        <w:t>La diversification des rotations casse les cycles de pathogènes, améliore le profil nutritionnel du sol, et stimule la diversité microbienne.</w:t>
      </w:r>
    </w:p>
    <w:p/>
    <w:p>
      <w:r>
        <w:t>→ La rotation diversifiée est le TROISIÈME pilier de l'ACS, souvent négligé. La monoculture + non-labour = accumulation de pathogènes et d'adventices résistantes. La rotation brise les cycles parasitaires.</w:t>
        <w:br/>
        <w:t>→ Rotation type ACS : blé → colza → blé → pois → blé → tournesol sur 6 ans. Avec couverts intermédiaires multi-espèces entre chaque culture. Chaque culture modifie le microbiome du sol et prépare la suivante.</w:t>
        <w:br/>
        <w:t>→ Les associations (relay cropping, strip-till) poussent le concept plus loin : deux cultures simultanées dans la même parcelle. Le maïs + haricot grimpant (milpa mexicaine) est un système vieux de 7000 ans qui maximise la complémentarité.</w:t>
      </w:r>
    </w:p>
    <w:p>
      <w:pPr>
        <w:jc w:val="center"/>
      </w:pPr>
      <w:r>
        <w:rPr>
          <w:color w:val="999999"/>
          <w:sz w:val="18"/>
        </w:rPr>
        <w:t>────────────────────────────────────────</w:t>
      </w:r>
    </w:p>
    <w:p>
      <w:pPr>
        <w:pStyle w:val="Heading1"/>
      </w:pPr>
      <w:r>
        <w:t>V. Transition</w:t>
      </w:r>
    </w:p>
    <w:p>
      <w:pPr>
        <w:pStyle w:val="Heading2"/>
      </w:pPr>
      <w:r>
        <w:t>5.1 Les 4 phases de la transition ACS</w:t>
      </w:r>
    </w:p>
    <w:p>
      <w:r>
        <w:t>La transition ACS se fait en 4 phases : (1) sevrage chimique, (2) reconstruction biologique, (3) autonomie partielle, (4) sol vivant fonctionnel. Le ratio copiotrophes/oligotrophes positionne l'exploitation.</w:t>
      </w:r>
    </w:p>
    <w:p>
      <w:r>
        <w:t>Phase 0 de la transition (sols sableux degrades) : le chantier de reconstruction par amendement mineral (marnage, bentonite, basalte) precede le regime ACS. Le basalte 6-10 t/ha augmente la stabilite des agregats de 15 a 25%, le C organique de 69 a 135% et sequestre 2-4 t CO2/ha (Richardson 2024, Kelland 2020). Sans amendement mineral, le sol sableux est en regime metastable (k2 eleve, ration entretien disproportionnee). Le marnage ou le basalte permettent la bascule vers un regime ACS auto-entretenu (MO/argile &gt; 17%, Zone 2 Husson-Boivin).</w:t>
      </w:r>
    </w:p>
    <w:p/>
    <w:p>
      <w:r>
        <w:t>→ Les 4 phases de la transition ACS correspondent aux zones de Husson : Phase 1 (sevrage, 1-3 ans, Zone 4→3) : arrêt labour + premiers couverts. Baisse rendement 10-20%. Phase 2 (faux plat, 3-5 ans, Zone 3→2) : MO monte, rendement stagne.</w:t>
        <w:br/>
        <w:t>→ Phase 3 (acquisition, 5-10 ans, Zone 2→1) : le sol commence à « rendre ». Rendement remonte, coût intrants baisse. Phase 4 (maturité, &gt;10 ans, Zone 1) : résilience + rendement + autonomie. Cagnolle : 1.4% → 9% MO en 10 ans.</w:t>
        <w:br/>
        <w:t>→ Le foliaire en Phase 1-2 : nourrir la plante par les feuilles (micronutriments + acides aminés) pendant que le sol reconstruit sa biologie. Le foliaire contourne la compétition sol-plante pour N/P/S et aide à passer le « faux plat ».</w:t>
      </w:r>
    </w:p>
    <w:p>
      <w:pPr>
        <w:jc w:val="center"/>
      </w:pPr>
      <w:r>
        <w:rPr>
          <w:color w:val="999999"/>
          <w:sz w:val="18"/>
        </w:rPr>
        <w:t>────────────────────────────────────────</w:t>
      </w:r>
    </w:p>
    <w:p>
      <w:pPr>
        <w:pStyle w:val="Heading2"/>
      </w:pPr>
      <w:r>
        <w:t>5.2 La Pompe à Carbone Microbienne en ACS</w:t>
      </w:r>
    </w:p>
    <w:p>
      <w:r>
        <w:t>La pompe à carbone microbienne en ACS : les couverts alimentent le microbiome qui produit la nécromasse qui stabilise le carbone. C'est le mécanisme de séquestration en contexte ACS.</w:t>
      </w:r>
    </w:p>
    <w:p/>
    <w:p>
      <w:r>
        <w:t>→ La Pompe à Carbone Microbienne en ACS : les couverts photosynthétisent → exsudats racinaires nourrissent les micro-organismes → la nécromasse microbienne se stabilise en MAOM sur les argiles. Le non-labour préserve cette chaîne intacte.</w:t>
        <w:br/>
        <w:t>→ L'ACS maximise la MCP (Microbial Carbon Pump) : couvert permanent = apport C continu. Non-labour = nécromasse préservée in situ. Rotation diversifiée = diversité microbienne → CUE élevé → plus de nécromasse par unité de C.</w:t>
        <w:br/>
        <w:t>→ Potentiel de séquestration en ACS complète (3 piliers respectés) : 1-3 tC/ha/an pendant 20-30 ans. Si généralisé aux 30 Mha de terres arables françaises = 30-90 MtC/an = compensation de 5-15% des émissions nationales.</w:t>
      </w:r>
    </w:p>
    <w:p>
      <w:pPr>
        <w:jc w:val="center"/>
      </w:pPr>
      <w:r>
        <w:rPr>
          <w:color w:val="999999"/>
          <w:sz w:val="18"/>
        </w:rPr>
        <w:t>────────────────────────────────────────</w:t>
      </w:r>
    </w:p>
    <w:p>
      <w:pPr>
        <w:pStyle w:val="Heading1"/>
      </w:pPr>
      <w:r>
        <w:t>Conclusion</w:t>
      </w:r>
    </w:p>
    <w:p>
      <w:r>
        <w:t>Ce document couvre 9 sections organisées autour de 5 chapitres : I. Fondements de l'ACS, II. Non-labour, III. Couverts végétaux, IV. Diversification et 1 autres. La conclusion doit synthétiser les mécanismes clés et ouvrir sur les perspectives pratiques ou scientifiques.</w:t>
      </w:r>
    </w:p>
    <w:p>
      <w:r>
        <w:rPr>
          <w:i/>
          <w:color w:val="707070"/>
        </w:rPr>
        <w:t>L'ACS est la transition du sol mort au sol vivant. Synthétiser les 3 piliers et les 4 phases. Le sol se régénère quand on cesse de le détruire et qu'on nourrit sa biologie.</w:t>
      </w:r>
    </w:p>
    <w:p>
      <w:r>
        <w:br w:type="page"/>
      </w:r>
    </w:p>
    <w:p>
      <w:pPr>
        <w:pStyle w:val="Heading1"/>
      </w:pPr>
      <w:r>
        <w:t>Annexes</w:t>
      </w:r>
    </w:p>
    <w:p>
      <w:pPr>
        <w:pStyle w:val="Heading2"/>
      </w:pPr>
      <w:r>
        <w:t>Renvois inter-documents (8)</w:t>
      </w:r>
    </w:p>
    <w:p>
      <w:r>
        <w:t>→ document · Voir S0 : Couverts : infiltration ×1.5-5, évaporation -24-32%</w:t>
      </w:r>
    </w:p>
    <w:p>
      <w:r>
        <w:t>→ I · Voir S1 : Le non-labour et le mulch comme prévention de l'hystérésis hydrique</w:t>
      </w:r>
    </w:p>
    <w:p>
      <w:r>
        <w:t>→ document · Voir S2 §II : Stœchiométrie complète C:N:P:S des couverts végétaux</w:t>
      </w:r>
    </w:p>
    <w:p>
      <w:r>
        <w:t>→ document · Voir S3 : couverts mycorhizogènes et CMN</w:t>
      </w:r>
    </w:p>
    <w:p>
      <w:r>
        <w:t>→ I · Voir S4 §II : Le non-labour préserve les microsites anoxiques essentiels au couplage nitrification/dénitrification</w:t>
      </w:r>
    </w:p>
    <w:p>
      <w:r>
        <w:t>→ document · Voir V1 §II : Bio-tillage comme complément au non-labour</w:t>
      </w:r>
    </w:p>
    <w:p>
      <w:r>
        <w:t>→ I · Voir V1 §II : Bio-tillage : les galeries de vers anéciques comme remplacement fonctionnel du sous-solage mécanique</w:t>
      </w:r>
    </w:p>
    <w:p>
      <w:r>
        <w:t>→ document · Voir V2 : design couvert pour recrutement microbien</w:t>
      </w:r>
    </w:p>
    <w:p>
      <w:pPr>
        <w:pStyle w:val="Heading2"/>
      </w:pPr>
      <w:r>
        <w:t>Sources (30)</w:t>
      </w:r>
    </w:p>
    <w:p>
      <w:r>
        <w:rPr>
          <w:sz w:val="18"/>
        </w:rPr>
        <w:t>Baqué (2006).   [à pousser dans Zotero]</w:t>
      </w:r>
    </w:p>
    <w:p>
      <w:r>
        <w:rPr>
          <w:sz w:val="18"/>
        </w:rPr>
        <w:t>Berkowitz &amp; VanZomeren (2020).   [à pousser dans Zotero]</w:t>
      </w:r>
    </w:p>
    <w:p>
      <w:r>
        <w:rPr>
          <w:sz w:val="18"/>
        </w:rPr>
        <w:t>Caurel, C. (2019). Experimental monitoring of trace elements (Cr, Cu, Pb, As) mobility at a bimodal porous media scale : microbial activity · DOI: no-doi/caurel-2019  [à pousser dans Zotero]</w:t>
      </w:r>
    </w:p>
    <w:p>
      <w:r>
        <w:rPr>
          <w:sz w:val="18"/>
        </w:rPr>
        <w:t>Chabert &amp; Sarthou (2016). Combined expression of ecosystem services under conventional, organic and conservation agricultures: study of agro-ecological determinants — HAL (Le Centre pour la Communication Scientifique Directe) · https://hal.inrae.fr/hal-02739177</w:t>
      </w:r>
    </w:p>
    <w:p>
      <w:r>
        <w:rPr>
          <w:sz w:val="18"/>
        </w:rPr>
        <w:t>Chabert &amp; Sarthou (2020).   [à pousser dans Zotero]</w:t>
      </w:r>
    </w:p>
    <w:p>
      <w:r>
        <w:rPr>
          <w:sz w:val="18"/>
        </w:rPr>
        <w:t>Cissé &amp; Vachaud (1988).   [à pousser dans Zotero]</w:t>
      </w:r>
    </w:p>
    <w:p>
      <w:r>
        <w:rPr>
          <w:sz w:val="18"/>
        </w:rPr>
        <w:t>Cottes (2019). The soil redox potential (Eh) : its measurement, its impact on the mobility of nutrients and the growth of sunflower — HAL (Le Centre pour la Communication Scientifique Directe) · https://theses.hal.science/tel-04168569</w:t>
      </w:r>
    </w:p>
    <w:p>
      <w:r>
        <w:rPr>
          <w:sz w:val="18"/>
        </w:rPr>
        <w:t>Delattre (2018). How do energy gradients shape microbial communities? Study of the Microbial Transition State (MTS) approach for modelling microbial ecosystems dynamics and its application to environmental biotechnology processes · https://pastel.hal.science/tel-03392364</w:t>
      </w:r>
    </w:p>
    <w:p>
      <w:r>
        <w:rPr>
          <w:sz w:val="18"/>
        </w:rPr>
        <w:t>Drapeau (2018).   [à pousser dans Zotero]</w:t>
      </w:r>
    </w:p>
    <w:p>
      <w:r>
        <w:rPr>
          <w:sz w:val="18"/>
        </w:rPr>
        <w:t>Garnier (2012).   [à pousser dans Zotero]</w:t>
      </w:r>
    </w:p>
    <w:p>
      <w:r>
        <w:rPr>
          <w:sz w:val="18"/>
        </w:rPr>
        <w:t>Gu (2017).   [à pousser dans Zotero]</w:t>
      </w:r>
    </w:p>
    <w:p>
      <w:r>
        <w:rPr>
          <w:sz w:val="18"/>
        </w:rPr>
        <w:t>Hinimbio (2019). Soils fertility rehabilitation by use of bioresources (Crotalaria juncea L. and Brachiaria ruziziensis G.&amp;E.) in cotton zone of Far-North Cameroon — HAL (Le Centre pour la Communication Scientifique Directe) · https://tel.archives-ouvertes.fr/tel-02305183</w:t>
      </w:r>
    </w:p>
    <w:p>
      <w:r>
        <w:rPr>
          <w:sz w:val="18"/>
        </w:rPr>
        <w:t>Hure (2004).   [à pousser dans Zotero]</w:t>
      </w:r>
    </w:p>
    <w:p>
      <w:r>
        <w:rPr>
          <w:sz w:val="18"/>
        </w:rPr>
        <w:t>Husson (2012). Redox potential (Eh) and pH as drivers of soil/plant/microorganism systems: a transdisciplinary overview pointing to integrative opportunities for agronomy · DOI: 10.1007/s11104-012-1429-7</w:t>
      </w:r>
    </w:p>
    <w:p>
      <w:r>
        <w:rPr>
          <w:sz w:val="18"/>
        </w:rPr>
        <w:t>Lagauzère (2008).   [à pousser dans Zotero]</w:t>
      </w:r>
    </w:p>
    <w:p>
      <w:r>
        <w:rPr>
          <w:sz w:val="18"/>
        </w:rPr>
        <w:t>LeBaron &amp; Sharpe (2022).   [à pousser dans Zotero]</w:t>
      </w:r>
    </w:p>
    <w:p>
      <w:r>
        <w:rPr>
          <w:sz w:val="18"/>
        </w:rPr>
        <w:t>Liang et al. (2020). Microbial necromass on the rise — Soil Biology and Biochemistry · DOI: 10.1016/j.soilbio.2020.108000</w:t>
      </w:r>
    </w:p>
    <w:p>
      <w:r>
        <w:rPr>
          <w:sz w:val="18"/>
        </w:rPr>
        <w:t>Loiret (2013). L'indice Ka de distance à l'équilibre et la diversité biologique — HAL (Le Centre pour la Communication Scientifique Directe) · https://hal.archives-ouvertes.fr/hal-01025400</w:t>
      </w:r>
    </w:p>
    <w:p>
      <w:r>
        <w:rPr>
          <w:sz w:val="18"/>
        </w:rPr>
        <w:t>Lombard (2007). Metagenomic Approaches in Soil Microbiology: Optimisation of Classical Technics and Development of an Alternative Approach by Gene Trap in a Recipient Strain. — HAL (Le Centre pour la Communication Scientifique Directe) · https://theses.hal.science/tel-01211276</w:t>
      </w:r>
    </w:p>
    <w:p>
      <w:r>
        <w:rPr>
          <w:sz w:val="18"/>
        </w:rPr>
        <w:t>Markelova (2016). Redox potential and mobility of contaminant oxyanions (As, Sb, Cr) in argillaceous rock subjected to oxic and anoxic cycles — HAL (Le Centre pour la Communication Scientifique Directe) · https://tel.archives-ouvertes.fr/tel-01561003</w:t>
      </w:r>
    </w:p>
    <w:p>
      <w:r>
        <w:rPr>
          <w:sz w:val="18"/>
        </w:rPr>
        <w:t>Mattila (2023). Redox potential as a soil health indicator -- how does it compare to existing methods? · DOI: 10.22541/essoar.167407906.69065332/v1</w:t>
      </w:r>
    </w:p>
    <w:p>
      <w:r>
        <w:rPr>
          <w:sz w:val="18"/>
        </w:rPr>
        <w:t>Parrello (2014).   [à pousser dans Zotero]</w:t>
      </w:r>
    </w:p>
    <w:p>
      <w:r>
        <w:rPr>
          <w:sz w:val="18"/>
        </w:rPr>
        <w:t>Payandi-Rolland (2020). Biogeochemistry of organic carbon in permafrost peatland waters : an experimental approach — HAL (Le Centre pour la Communication Scientifique Directe) · https://theses.hal.science/tel-03236081</w:t>
      </w:r>
    </w:p>
    <w:p>
      <w:r>
        <w:rPr>
          <w:sz w:val="18"/>
        </w:rPr>
        <w:t>Pidello (2003).   [à pousser dans Zotero]</w:t>
      </w:r>
    </w:p>
    <w:p>
      <w:r>
        <w:rPr>
          <w:sz w:val="18"/>
        </w:rPr>
        <w:t>Rousselot (2012). Mise au point de la méthode de mesure de trois paramètres du sol : pH, potentiel d'oxydoréduction et résistivité. — HAL (Le Centre pour la Communication Scientifique Directe) · https://hal.archives-ouvertes.fr/hal-01210089</w:t>
      </w:r>
    </w:p>
    <w:p>
      <w:r>
        <w:rPr>
          <w:sz w:val="18"/>
        </w:rPr>
        <w:t>Sahrawat (2004). Iron Toxicity in Wetland Rice and the Role of Other Nutrients — Journal of Plant Nutrition · DOI: 10.1081/pln-200025869</w:t>
      </w:r>
    </w:p>
    <w:p>
      <w:r>
        <w:rPr>
          <w:sz w:val="18"/>
        </w:rPr>
        <w:t>Samson (2021). Agronomic and environmental effect of soil conservation management practices in field crops production : Crop yield and soil carbon and nitrogen dynamics — HAL (Le Centre pour la Communication Scientifique Directe) · https://tel.archives-ouvertes.fr/tel-03609144</w:t>
      </w:r>
    </w:p>
    <w:p>
      <w:r>
        <w:rPr>
          <w:sz w:val="18"/>
        </w:rPr>
        <w:t>Thullner &amp; Regnier (2019).   [à pousser dans Zotero]</w:t>
      </w:r>
    </w:p>
    <w:p>
      <w:r>
        <w:rPr>
          <w:sz w:val="18"/>
        </w:rPr>
        <w:t>Wagner (2017). Effect of varying soil water potentials on methanogenesis in aerated marshland soils — Scientific Reports · DOI: 10.1038/s41598-017-14980-y</w:t>
      </w:r>
    </w:p>
    <w:p>
      <w:r>
        <w:rPr>
          <w:sz w:val="18"/>
        </w:rPr>
        <w:t>Zouaoui (2020).   [à pousser dans Zotero]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