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Biostimulants et Fermentations Appliquées</w:t>
      </w:r>
    </w:p>
    <w:p>
      <w:pPr>
        <w:pStyle w:val="Heading1"/>
      </w:pPr>
      <w:r>
        <w:t>Termes canoniques (86)</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FR</w:t>
            </w:r>
          </w:p>
        </w:tc>
        <w:tc>
          <w:tcPr>
            <w:tcW w:type="dxa" w:w="2880"/>
          </w:tcPr>
          <w:p>
            <w:r>
              <w:t>EN</w:t>
            </w:r>
          </w:p>
        </w:tc>
        <w:tc>
          <w:tcPr>
            <w:tcW w:type="dxa" w:w="2880"/>
          </w:tcPr>
          <w:p>
            <w:r>
              <w:t>Synonymes FR</w:t>
            </w:r>
          </w:p>
        </w:tc>
      </w:tr>
      <w:tr>
        <w:tc>
          <w:tcPr>
            <w:tcW w:type="dxa" w:w="2880"/>
          </w:tcPr>
          <w:p>
            <w:r>
              <w:t>ACC oxydase</w:t>
            </w:r>
          </w:p>
        </w:tc>
        <w:tc>
          <w:tcPr>
            <w:tcW w:type="dxa" w:w="2880"/>
          </w:tcPr>
          <w:p>
            <w:r>
              <w:t>ACC oxidase</w:t>
            </w:r>
          </w:p>
        </w:tc>
        <w:tc>
          <w:tcPr>
            <w:tcW w:type="dxa" w:w="2880"/>
          </w:tcPr>
          <w:p>
            <w:r/>
          </w:p>
        </w:tc>
      </w:tr>
      <w:tr>
        <w:tc>
          <w:tcPr>
            <w:tcW w:type="dxa" w:w="2880"/>
          </w:tcPr>
          <w:p>
            <w:r>
              <w:t>Acide citrique</w:t>
            </w:r>
          </w:p>
        </w:tc>
        <w:tc>
          <w:tcPr>
            <w:tcW w:type="dxa" w:w="2880"/>
          </w:tcPr>
          <w:p>
            <w:r>
              <w:t>Citric acid</w:t>
            </w:r>
          </w:p>
        </w:tc>
        <w:tc>
          <w:tcPr>
            <w:tcW w:type="dxa" w:w="2880"/>
          </w:tcPr>
          <w:p>
            <w:r>
              <w:t>Acide 2-hydroxypropane-1,2,3-tricarboxylique</w:t>
            </w:r>
          </w:p>
        </w:tc>
      </w:tr>
      <w:tr>
        <w:tc>
          <w:tcPr>
            <w:tcW w:type="dxa" w:w="2880"/>
          </w:tcPr>
          <w:p>
            <w:r>
              <w:t>Acide fumarique</w:t>
            </w:r>
          </w:p>
        </w:tc>
        <w:tc>
          <w:tcPr>
            <w:tcW w:type="dxa" w:w="2880"/>
          </w:tcPr>
          <w:p>
            <w:r>
              <w:t>Fumaric acid</w:t>
            </w:r>
          </w:p>
        </w:tc>
        <w:tc>
          <w:tcPr>
            <w:tcW w:type="dxa" w:w="2880"/>
          </w:tcPr>
          <w:p>
            <w:r>
              <w:t>Acide trans-butènedioïque</w:t>
            </w:r>
          </w:p>
        </w:tc>
      </w:tr>
      <w:tr>
        <w:tc>
          <w:tcPr>
            <w:tcW w:type="dxa" w:w="2880"/>
          </w:tcPr>
          <w:p>
            <w:r>
              <w:t>Acide malique</w:t>
            </w:r>
          </w:p>
        </w:tc>
        <w:tc>
          <w:tcPr>
            <w:tcW w:type="dxa" w:w="2880"/>
          </w:tcPr>
          <w:p>
            <w:r>
              <w:t>Malic acid</w:t>
            </w:r>
          </w:p>
        </w:tc>
        <w:tc>
          <w:tcPr>
            <w:tcW w:type="dxa" w:w="2880"/>
          </w:tcPr>
          <w:p>
            <w:r>
              <w:t>Acide hydroxybutanedioïque</w:t>
            </w:r>
          </w:p>
        </w:tc>
      </w:tr>
      <w:tr>
        <w:tc>
          <w:tcPr>
            <w:tcW w:type="dxa" w:w="2880"/>
          </w:tcPr>
          <w:p>
            <w:r>
              <w:t>Acide succinique</w:t>
            </w:r>
          </w:p>
        </w:tc>
        <w:tc>
          <w:tcPr>
            <w:tcW w:type="dxa" w:w="2880"/>
          </w:tcPr>
          <w:p>
            <w:r>
              <w:t>Succinic acid</w:t>
            </w:r>
          </w:p>
        </w:tc>
        <w:tc>
          <w:tcPr>
            <w:tcW w:type="dxa" w:w="2880"/>
          </w:tcPr>
          <w:p>
            <w:r>
              <w:t>Acide butanedioïque; Acide ambre</w:t>
            </w:r>
          </w:p>
        </w:tc>
      </w:tr>
      <w:tr>
        <w:tc>
          <w:tcPr>
            <w:tcW w:type="dxa" w:w="2880"/>
          </w:tcPr>
          <w:p>
            <w:r>
              <w:t>Activité antiparasitaire</w:t>
            </w:r>
          </w:p>
        </w:tc>
        <w:tc>
          <w:tcPr>
            <w:tcW w:type="dxa" w:w="2880"/>
          </w:tcPr>
          <w:p>
            <w:r>
              <w:t>Antiparasitic activity</w:t>
            </w:r>
          </w:p>
        </w:tc>
        <w:tc>
          <w:tcPr>
            <w:tcW w:type="dxa" w:w="2880"/>
          </w:tcPr>
          <w:p>
            <w:r/>
          </w:p>
        </w:tc>
      </w:tr>
      <w:tr>
        <w:tc>
          <w:tcPr>
            <w:tcW w:type="dxa" w:w="2880"/>
          </w:tcPr>
          <w:p>
            <w:r>
              <w:t>Acylsucres</w:t>
            </w:r>
          </w:p>
        </w:tc>
        <w:tc>
          <w:tcPr>
            <w:tcW w:type="dxa" w:w="2880"/>
          </w:tcPr>
          <w:p>
            <w:r>
              <w:t>Acylsugars</w:t>
            </w:r>
          </w:p>
        </w:tc>
        <w:tc>
          <w:tcPr>
            <w:tcW w:type="dxa" w:w="2880"/>
          </w:tcPr>
          <w:p>
            <w:r>
              <w:t>Sucres acylés</w:t>
            </w:r>
          </w:p>
        </w:tc>
      </w:tr>
      <w:tr>
        <w:tc>
          <w:tcPr>
            <w:tcW w:type="dxa" w:w="2880"/>
          </w:tcPr>
          <w:p>
            <w:r>
              <w:t>Anthocyane</w:t>
            </w:r>
          </w:p>
        </w:tc>
        <w:tc>
          <w:tcPr>
            <w:tcW w:type="dxa" w:w="2880"/>
          </w:tcPr>
          <w:p>
            <w:r>
              <w:t>Anthocyanin</w:t>
            </w:r>
          </w:p>
        </w:tc>
        <w:tc>
          <w:tcPr>
            <w:tcW w:type="dxa" w:w="2880"/>
          </w:tcPr>
          <w:p>
            <w:r>
              <w:t>Anthocyanoside</w:t>
            </w:r>
          </w:p>
        </w:tc>
      </w:tr>
      <w:tr>
        <w:tc>
          <w:tcPr>
            <w:tcW w:type="dxa" w:w="2880"/>
          </w:tcPr>
          <w:p>
            <w:r>
              <w:t>BGC</w:t>
            </w:r>
          </w:p>
        </w:tc>
        <w:tc>
          <w:tcPr>
            <w:tcW w:type="dxa" w:w="2880"/>
          </w:tcPr>
          <w:p>
            <w:r>
              <w:t>biosynthetic gene cluster</w:t>
            </w:r>
          </w:p>
        </w:tc>
        <w:tc>
          <w:tcPr>
            <w:tcW w:type="dxa" w:w="2880"/>
          </w:tcPr>
          <w:p>
            <w:r/>
          </w:p>
        </w:tc>
      </w:tr>
      <w:tr>
        <w:tc>
          <w:tcPr>
            <w:tcW w:type="dxa" w:w="2880"/>
          </w:tcPr>
          <w:p>
            <w:r>
              <w:t>BRF (bois raméal fragmenté)</w:t>
            </w:r>
          </w:p>
        </w:tc>
        <w:tc>
          <w:tcPr>
            <w:tcW w:type="dxa" w:w="2880"/>
          </w:tcPr>
          <w:p>
            <w:r>
              <w:t>ramial chipped wood (RCW)</w:t>
            </w:r>
          </w:p>
        </w:tc>
        <w:tc>
          <w:tcPr>
            <w:tcW w:type="dxa" w:w="2880"/>
          </w:tcPr>
          <w:p>
            <w:r>
              <w:t>bois de rameaux broyés ; mulch de bois ligneux ; broyat de branches fraîches</w:t>
            </w:r>
          </w:p>
        </w:tc>
      </w:tr>
      <w:tr>
        <w:tc>
          <w:tcPr>
            <w:tcW w:type="dxa" w:w="2880"/>
          </w:tcPr>
          <w:p>
            <w:r>
              <w:t>Bio-inoculants et Extraits Fermentés</w:t>
            </w:r>
          </w:p>
        </w:tc>
        <w:tc>
          <w:tcPr>
            <w:tcW w:type="dxa" w:w="2880"/>
          </w:tcPr>
          <w:p>
            <w:r>
              <w:t>bio-inoculants and fermented extracts</w:t>
            </w:r>
          </w:p>
        </w:tc>
        <w:tc>
          <w:tcPr>
            <w:tcW w:type="dxa" w:w="2880"/>
          </w:tcPr>
          <w:p>
            <w:r>
              <w:t>biostimulants microbiens</w:t>
            </w:r>
          </w:p>
        </w:tc>
      </w:tr>
      <w:tr>
        <w:tc>
          <w:tcPr>
            <w:tcW w:type="dxa" w:w="2880"/>
          </w:tcPr>
          <w:p>
            <w:r>
              <w:t>Bioaccumulation</w:t>
            </w:r>
          </w:p>
        </w:tc>
        <w:tc>
          <w:tcPr>
            <w:tcW w:type="dxa" w:w="2880"/>
          </w:tcPr>
          <w:p>
            <w:r>
              <w:t>Bioaccumulation</w:t>
            </w:r>
          </w:p>
        </w:tc>
        <w:tc>
          <w:tcPr>
            <w:tcW w:type="dxa" w:w="2880"/>
          </w:tcPr>
          <w:p>
            <w:r/>
          </w:p>
        </w:tc>
      </w:tr>
      <w:tr>
        <w:tc>
          <w:tcPr>
            <w:tcW w:type="dxa" w:w="2880"/>
          </w:tcPr>
          <w:p>
            <w:r>
              <w:t>Brûlis</w:t>
            </w:r>
          </w:p>
        </w:tc>
        <w:tc>
          <w:tcPr>
            <w:tcW w:type="dxa" w:w="2880"/>
          </w:tcPr>
          <w:p>
            <w:r>
              <w:t>Slash and burn</w:t>
            </w:r>
          </w:p>
        </w:tc>
        <w:tc>
          <w:tcPr>
            <w:tcW w:type="dxa" w:w="2880"/>
          </w:tcPr>
          <w:p>
            <w:r>
              <w:t>Écobuage; Feu de broussaille</w:t>
            </w:r>
          </w:p>
        </w:tc>
      </w:tr>
      <w:tr>
        <w:tc>
          <w:tcPr>
            <w:tcW w:type="dxa" w:w="2880"/>
          </w:tcPr>
          <w:p>
            <w:r>
              <w:t>Chaulage</w:t>
            </w:r>
          </w:p>
        </w:tc>
        <w:tc>
          <w:tcPr>
            <w:tcW w:type="dxa" w:w="2880"/>
          </w:tcPr>
          <w:p>
            <w:r>
              <w:t>Liming</w:t>
            </w:r>
          </w:p>
        </w:tc>
        <w:tc>
          <w:tcPr>
            <w:tcW w:type="dxa" w:w="2880"/>
          </w:tcPr>
          <w:p>
            <w:r>
              <w:t>Amendement calcique</w:t>
            </w:r>
          </w:p>
        </w:tc>
      </w:tr>
      <w:tr>
        <w:tc>
          <w:tcPr>
            <w:tcW w:type="dxa" w:w="2880"/>
          </w:tcPr>
          <w:p>
            <w:r>
              <w:t>Chaîne 3 — Bokashi → Suppressivité du sol</w:t>
            </w:r>
          </w:p>
        </w:tc>
        <w:tc>
          <w:tcPr>
            <w:tcW w:type="dxa" w:w="2880"/>
          </w:tcPr>
          <w:p>
            <w:r>
              <w:t>Chain 3 — Bokashi to soil suppressiveness</w:t>
            </w:r>
          </w:p>
        </w:tc>
        <w:tc>
          <w:tcPr>
            <w:tcW w:type="dxa" w:w="2880"/>
          </w:tcPr>
          <w:p>
            <w:r>
              <w:t>aucun (concept de protection induite par le ferment) ; induction de résistance par fermentation</w:t>
            </w:r>
          </w:p>
        </w:tc>
      </w:tr>
      <w:tr>
        <w:tc>
          <w:tcPr>
            <w:tcW w:type="dxa" w:w="2880"/>
          </w:tcPr>
          <w:p>
            <w:r>
              <w:t>Cyclose racinaire</w:t>
            </w:r>
          </w:p>
        </w:tc>
        <w:tc>
          <w:tcPr>
            <w:tcW w:type="dxa" w:w="2880"/>
          </w:tcPr>
          <w:p>
            <w:r>
              <w:t>Root cyclosis</w:t>
            </w:r>
          </w:p>
        </w:tc>
        <w:tc>
          <w:tcPr>
            <w:tcW w:type="dxa" w:w="2880"/>
          </w:tcPr>
          <w:p>
            <w:r>
              <w:t>Cytoplasme racinaire; Flux cytoplasmique</w:t>
            </w:r>
          </w:p>
        </w:tc>
      </w:tr>
      <w:tr>
        <w:tc>
          <w:tcPr>
            <w:tcW w:type="dxa" w:w="2880"/>
          </w:tcPr>
          <w:p>
            <w:r>
              <w:t>EM (micro-organismes efficaces)</w:t>
            </w:r>
          </w:p>
        </w:tc>
        <w:tc>
          <w:tcPr>
            <w:tcW w:type="dxa" w:w="2880"/>
          </w:tcPr>
          <w:p>
            <w:r>
              <w:t>effective microorganisms (EM)</w:t>
            </w:r>
          </w:p>
        </w:tc>
        <w:tc>
          <w:tcPr>
            <w:tcW w:type="dxa" w:w="2880"/>
          </w:tcPr>
          <w:p>
            <w:r>
              <w:t>micro-organismes utiles ; préparation Higa ; ferments microbiens du commerce</w:t>
            </w:r>
          </w:p>
        </w:tc>
      </w:tr>
      <w:tr>
        <w:tc>
          <w:tcPr>
            <w:tcW w:type="dxa" w:w="2880"/>
          </w:tcPr>
          <w:p>
            <w:r>
              <w:t>EM complet</w:t>
            </w:r>
          </w:p>
        </w:tc>
        <w:tc>
          <w:tcPr>
            <w:tcW w:type="dxa" w:w="2880"/>
          </w:tcPr>
          <w:p>
            <w:r>
              <w:t>Complete Effective Microorganisms</w:t>
            </w:r>
          </w:p>
        </w:tc>
        <w:tc>
          <w:tcPr>
            <w:tcW w:type="dxa" w:w="2880"/>
          </w:tcPr>
          <w:p>
            <w:r/>
          </w:p>
        </w:tc>
      </w:tr>
      <w:tr>
        <w:tc>
          <w:tcPr>
            <w:tcW w:type="dxa" w:w="2880"/>
          </w:tcPr>
          <w:p>
            <w:r>
              <w:t>Fourrage de saule</w:t>
            </w:r>
          </w:p>
        </w:tc>
        <w:tc>
          <w:tcPr>
            <w:tcW w:type="dxa" w:w="2880"/>
          </w:tcPr>
          <w:p>
            <w:r>
              <w:t>Willow fodder</w:t>
            </w:r>
          </w:p>
        </w:tc>
        <w:tc>
          <w:tcPr>
            <w:tcW w:type="dxa" w:w="2880"/>
          </w:tcPr>
          <w:p>
            <w:r/>
          </w:p>
        </w:tc>
      </w:tr>
      <w:tr>
        <w:tc>
          <w:tcPr>
            <w:tcW w:type="dxa" w:w="2880"/>
          </w:tcPr>
          <w:p>
            <w:r>
              <w:t>Gamma-hydroxybutyrate</w:t>
            </w:r>
          </w:p>
        </w:tc>
        <w:tc>
          <w:tcPr>
            <w:tcW w:type="dxa" w:w="2880"/>
          </w:tcPr>
          <w:p>
            <w:r>
              <w:t>Gamma-hydroxybutyrate</w:t>
            </w:r>
          </w:p>
        </w:tc>
        <w:tc>
          <w:tcPr>
            <w:tcW w:type="dxa" w:w="2880"/>
          </w:tcPr>
          <w:p>
            <w:r>
              <w:t>GHB; 4-hydroxybutyrate</w:t>
            </w:r>
          </w:p>
        </w:tc>
      </w:tr>
      <w:tr>
        <w:tc>
          <w:tcPr>
            <w:tcW w:type="dxa" w:w="2880"/>
          </w:tcPr>
          <w:p>
            <w:r>
              <w:t>Hyperaccumulateur</w:t>
            </w:r>
          </w:p>
        </w:tc>
        <w:tc>
          <w:tcPr>
            <w:tcW w:type="dxa" w:w="2880"/>
          </w:tcPr>
          <w:p>
            <w:r>
              <w:t>Hyperaccumulator</w:t>
            </w:r>
          </w:p>
        </w:tc>
        <w:tc>
          <w:tcPr>
            <w:tcW w:type="dxa" w:w="2880"/>
          </w:tcPr>
          <w:p>
            <w:r/>
          </w:p>
        </w:tc>
      </w:tr>
      <w:tr>
        <w:tc>
          <w:tcPr>
            <w:tcW w:type="dxa" w:w="2880"/>
          </w:tcPr>
          <w:p>
            <w:r>
              <w:t>IMO</w:t>
            </w:r>
          </w:p>
        </w:tc>
        <w:tc>
          <w:tcPr>
            <w:tcW w:type="dxa" w:w="2880"/>
          </w:tcPr>
          <w:p>
            <w:r>
              <w:t>indigenous microorganisms</w:t>
            </w:r>
          </w:p>
        </w:tc>
        <w:tc>
          <w:tcPr>
            <w:tcW w:type="dxa" w:w="2880"/>
          </w:tcPr>
          <w:p>
            <w:r>
              <w:t>micro-organismes indigènes ; levains naturels locaux</w:t>
            </w:r>
          </w:p>
        </w:tc>
      </w:tr>
      <w:tr>
        <w:tc>
          <w:tcPr>
            <w:tcW w:type="dxa" w:w="2880"/>
          </w:tcPr>
          <w:p>
            <w:r>
              <w:t>IMO1 / IMO2</w:t>
            </w:r>
          </w:p>
        </w:tc>
        <w:tc>
          <w:tcPr>
            <w:tcW w:type="dxa" w:w="2880"/>
          </w:tcPr>
          <w:p>
            <w:r>
              <w:t>Indigenous Microorganisms 1 &amp; 2</w:t>
            </w:r>
          </w:p>
        </w:tc>
        <w:tc>
          <w:tcPr>
            <w:tcW w:type="dxa" w:w="2880"/>
          </w:tcPr>
          <w:p>
            <w:r/>
          </w:p>
        </w:tc>
      </w:tr>
      <w:tr>
        <w:tc>
          <w:tcPr>
            <w:tcW w:type="dxa" w:w="2880"/>
          </w:tcPr>
          <w:p>
            <w:r>
              <w:t>IPMO (Indigenous Predatory Microorganisms)</w:t>
            </w:r>
          </w:p>
        </w:tc>
        <w:tc>
          <w:tcPr>
            <w:tcW w:type="dxa" w:w="2880"/>
          </w:tcPr>
          <w:p>
            <w:r>
              <w:t>IPMO (Indigenous Predatory Microorganisms)</w:t>
            </w:r>
          </w:p>
        </w:tc>
        <w:tc>
          <w:tcPr>
            <w:tcW w:type="dxa" w:w="2880"/>
          </w:tcPr>
          <w:p>
            <w:r/>
          </w:p>
        </w:tc>
      </w:tr>
      <w:tr>
        <w:tc>
          <w:tcPr>
            <w:tcW w:type="dxa" w:w="2880"/>
          </w:tcPr>
          <w:p>
            <w:r>
              <w:t>Interception de polluants</w:t>
            </w:r>
          </w:p>
        </w:tc>
        <w:tc>
          <w:tcPr>
            <w:tcW w:type="dxa" w:w="2880"/>
          </w:tcPr>
          <w:p>
            <w:r>
              <w:t>Pollutant interception</w:t>
            </w:r>
          </w:p>
        </w:tc>
        <w:tc>
          <w:tcPr>
            <w:tcW w:type="dxa" w:w="2880"/>
          </w:tcPr>
          <w:p>
            <w:r/>
          </w:p>
        </w:tc>
      </w:tr>
      <w:tr>
        <w:tc>
          <w:tcPr>
            <w:tcW w:type="dxa" w:w="2880"/>
          </w:tcPr>
          <w:p>
            <w:r>
              <w:t>Intégration du bétail</w:t>
            </w:r>
          </w:p>
        </w:tc>
        <w:tc>
          <w:tcPr>
            <w:tcW w:type="dxa" w:w="2880"/>
          </w:tcPr>
          <w:p>
            <w:r>
              <w:t>Livestock integration</w:t>
            </w:r>
          </w:p>
        </w:tc>
        <w:tc>
          <w:tcPr>
            <w:tcW w:type="dxa" w:w="2880"/>
          </w:tcPr>
          <w:p>
            <w:r/>
          </w:p>
        </w:tc>
      </w:tr>
      <w:tr>
        <w:tc>
          <w:tcPr>
            <w:tcW w:type="dxa" w:w="2880"/>
          </w:tcPr>
          <w:p>
            <w:r>
              <w:t>JADAM</w:t>
            </w:r>
          </w:p>
        </w:tc>
        <w:tc>
          <w:tcPr>
            <w:tcW w:type="dxa" w:w="2880"/>
          </w:tcPr>
          <w:p>
            <w:r>
              <w:t>JADAM (Jadam Organic Farming)</w:t>
            </w:r>
          </w:p>
        </w:tc>
        <w:tc>
          <w:tcPr>
            <w:tcW w:type="dxa" w:w="2880"/>
          </w:tcPr>
          <w:p>
            <w:r>
              <w:t>agriculture naturelle JADAM ; JOM</w:t>
            </w:r>
          </w:p>
        </w:tc>
      </w:tr>
      <w:tr>
        <w:tc>
          <w:tcPr>
            <w:tcW w:type="dxa" w:w="2880"/>
          </w:tcPr>
          <w:p>
            <w:r>
              <w:t>JMS</w:t>
            </w:r>
          </w:p>
        </w:tc>
        <w:tc>
          <w:tcPr>
            <w:tcW w:type="dxa" w:w="2880"/>
          </w:tcPr>
          <w:p>
            <w:r>
              <w:t>Jadam Microbial Solution</w:t>
            </w:r>
          </w:p>
        </w:tc>
        <w:tc>
          <w:tcPr>
            <w:tcW w:type="dxa" w:w="2880"/>
          </w:tcPr>
          <w:p>
            <w:r>
              <w:t>solution microbienne JADAM</w:t>
            </w:r>
          </w:p>
        </w:tc>
      </w:tr>
      <w:tr>
        <w:tc>
          <w:tcPr>
            <w:tcW w:type="dxa" w:w="2880"/>
          </w:tcPr>
          <w:p>
            <w:r>
              <w:t>JWA</w:t>
            </w:r>
          </w:p>
        </w:tc>
        <w:tc>
          <w:tcPr>
            <w:tcW w:type="dxa" w:w="2880"/>
          </w:tcPr>
          <w:p>
            <w:r>
              <w:t>Jadam Wetting Agent</w:t>
            </w:r>
          </w:p>
        </w:tc>
        <w:tc>
          <w:tcPr>
            <w:tcW w:type="dxa" w:w="2880"/>
          </w:tcPr>
          <w:p>
            <w:r>
              <w:t>agent mouillant JADAM</w:t>
            </w:r>
          </w:p>
        </w:tc>
      </w:tr>
      <w:tr>
        <w:tc>
          <w:tcPr>
            <w:tcW w:type="dxa" w:w="2880"/>
          </w:tcPr>
          <w:p>
            <w:r>
              <w:t>K1 (coefficient d'humification)</w:t>
            </w:r>
          </w:p>
        </w:tc>
        <w:tc>
          <w:tcPr>
            <w:tcW w:type="dxa" w:w="2880"/>
          </w:tcPr>
          <w:p>
            <w:r>
              <w:t>humification coefficient (K1)</w:t>
            </w:r>
          </w:p>
        </w:tc>
        <w:tc>
          <w:tcPr>
            <w:tcW w:type="dxa" w:w="2880"/>
          </w:tcPr>
          <w:p>
            <w:r>
              <w:t>rendement d'humification ; taux de transformation en humus</w:t>
            </w:r>
          </w:p>
        </w:tc>
      </w:tr>
      <w:tr>
        <w:tc>
          <w:tcPr>
            <w:tcW w:type="dxa" w:w="2880"/>
          </w:tcPr>
          <w:p>
            <w:r>
              <w:t>Korean Natural Farming (KNF)</w:t>
            </w:r>
          </w:p>
        </w:tc>
        <w:tc>
          <w:tcPr>
            <w:tcW w:type="dxa" w:w="2880"/>
          </w:tcPr>
          <w:p>
            <w:r>
              <w:t>Korean Natural Farming (KNF)</w:t>
            </w:r>
          </w:p>
        </w:tc>
        <w:tc>
          <w:tcPr>
            <w:tcW w:type="dxa" w:w="2880"/>
          </w:tcPr>
          <w:p>
            <w:r>
              <w:t>KNF · agriculture naturelle coréenne</w:t>
            </w:r>
          </w:p>
        </w:tc>
      </w:tr>
      <w:tr>
        <w:tc>
          <w:tcPr>
            <w:tcW w:type="dxa" w:w="2880"/>
          </w:tcPr>
          <w:p>
            <w:r>
              <w:t>LFF</w:t>
            </w:r>
          </w:p>
        </w:tc>
        <w:tc>
          <w:tcPr>
            <w:tcW w:type="dxa" w:w="2880"/>
          </w:tcPr>
          <w:p>
            <w:r>
              <w:t>Liquid Fermented Fertilizer</w:t>
            </w:r>
          </w:p>
        </w:tc>
        <w:tc>
          <w:tcPr>
            <w:tcW w:type="dxa" w:w="2880"/>
          </w:tcPr>
          <w:p>
            <w:r/>
          </w:p>
        </w:tc>
      </w:tr>
      <w:tr>
        <w:tc>
          <w:tcPr>
            <w:tcW w:type="dxa" w:w="2880"/>
          </w:tcPr>
          <w:p>
            <w:r>
              <w:t>Microorganismos de Montaña (MM)</w:t>
            </w:r>
          </w:p>
        </w:tc>
        <w:tc>
          <w:tcPr>
            <w:tcW w:type="dxa" w:w="2880"/>
          </w:tcPr>
          <w:p>
            <w:r>
              <w:t>Mountain Microorganisms (MM)</w:t>
            </w:r>
          </w:p>
        </w:tc>
        <w:tc>
          <w:tcPr>
            <w:tcW w:type="dxa" w:w="2880"/>
          </w:tcPr>
          <w:p>
            <w:r>
              <w:t>MM, microorganismes de montagne, microbes de montagne</w:t>
            </w:r>
          </w:p>
        </w:tc>
      </w:tr>
      <w:tr>
        <w:tc>
          <w:tcPr>
            <w:tcW w:type="dxa" w:w="2880"/>
          </w:tcPr>
          <w:p>
            <w:r>
              <w:t>Phytoremédiation</w:t>
            </w:r>
          </w:p>
        </w:tc>
        <w:tc>
          <w:tcPr>
            <w:tcW w:type="dxa" w:w="2880"/>
          </w:tcPr>
          <w:p>
            <w:r>
              <w:t>Phytoremediation</w:t>
            </w:r>
          </w:p>
        </w:tc>
        <w:tc>
          <w:tcPr>
            <w:tcW w:type="dxa" w:w="2880"/>
          </w:tcPr>
          <w:p>
            <w:r/>
          </w:p>
        </w:tc>
      </w:tr>
      <w:tr>
        <w:tc>
          <w:tcPr>
            <w:tcW w:type="dxa" w:w="2880"/>
          </w:tcPr>
          <w:p>
            <w:r>
              <w:t>Priming microbien</w:t>
            </w:r>
          </w:p>
        </w:tc>
        <w:tc>
          <w:tcPr>
            <w:tcW w:type="dxa" w:w="2880"/>
          </w:tcPr>
          <w:p>
            <w:r>
              <w:t>Microbial priming</w:t>
            </w:r>
          </w:p>
        </w:tc>
        <w:tc>
          <w:tcPr>
            <w:tcW w:type="dxa" w:w="2880"/>
          </w:tcPr>
          <w:p>
            <w:r>
              <w:t>Effet priming; Activation microbienne</w:t>
            </w:r>
          </w:p>
        </w:tc>
      </w:tr>
      <w:tr>
        <w:tc>
          <w:tcPr>
            <w:tcW w:type="dxa" w:w="2880"/>
          </w:tcPr>
          <w:p>
            <w:r>
              <w:t>Rhodopseudomonas palustris</w:t>
            </w:r>
          </w:p>
        </w:tc>
        <w:tc>
          <w:tcPr>
            <w:tcW w:type="dxa" w:w="2880"/>
          </w:tcPr>
          <w:p>
            <w:r>
              <w:t>Rhodopseudomonas palustris</w:t>
            </w:r>
          </w:p>
        </w:tc>
        <w:tc>
          <w:tcPr>
            <w:tcW w:type="dxa" w:w="2880"/>
          </w:tcPr>
          <w:p>
            <w:r/>
          </w:p>
        </w:tc>
      </w:tr>
      <w:tr>
        <w:tc>
          <w:tcPr>
            <w:tcW w:type="dxa" w:w="2880"/>
          </w:tcPr>
          <w:p>
            <w:r>
              <w:t>Réduction méthane entérique</w:t>
            </w:r>
          </w:p>
        </w:tc>
        <w:tc>
          <w:tcPr>
            <w:tcW w:type="dxa" w:w="2880"/>
          </w:tcPr>
          <w:p>
            <w:r>
              <w:t>Enteric methane reduction</w:t>
            </w:r>
          </w:p>
        </w:tc>
        <w:tc>
          <w:tcPr>
            <w:tcW w:type="dxa" w:w="2880"/>
          </w:tcPr>
          <w:p>
            <w:r/>
          </w:p>
        </w:tc>
      </w:tr>
      <w:tr>
        <w:tc>
          <w:tcPr>
            <w:tcW w:type="dxa" w:w="2880"/>
          </w:tcPr>
          <w:p>
            <w:r>
              <w:t>Résilience à la sécheresse</w:t>
            </w:r>
          </w:p>
        </w:tc>
        <w:tc>
          <w:tcPr>
            <w:tcW w:type="dxa" w:w="2880"/>
          </w:tcPr>
          <w:p>
            <w:r>
              <w:t>Drought resilience</w:t>
            </w:r>
          </w:p>
        </w:tc>
        <w:tc>
          <w:tcPr>
            <w:tcW w:type="dxa" w:w="2880"/>
          </w:tcPr>
          <w:p>
            <w:r/>
          </w:p>
        </w:tc>
      </w:tr>
      <w:tr>
        <w:tc>
          <w:tcPr>
            <w:tcW w:type="dxa" w:w="2880"/>
          </w:tcPr>
          <w:p>
            <w:r>
              <w:t>Salicine</w:t>
            </w:r>
          </w:p>
        </w:tc>
        <w:tc>
          <w:tcPr>
            <w:tcW w:type="dxa" w:w="2880"/>
          </w:tcPr>
          <w:p>
            <w:r>
              <w:t>Salicin</w:t>
            </w:r>
          </w:p>
        </w:tc>
        <w:tc>
          <w:tcPr>
            <w:tcW w:type="dxa" w:w="2880"/>
          </w:tcPr>
          <w:p>
            <w:r/>
          </w:p>
        </w:tc>
      </w:tr>
      <w:tr>
        <w:tc>
          <w:tcPr>
            <w:tcW w:type="dxa" w:w="2880"/>
          </w:tcPr>
          <w:p>
            <w:r>
              <w:t>Taillis à courte rotation</w:t>
            </w:r>
          </w:p>
        </w:tc>
        <w:tc>
          <w:tcPr>
            <w:tcW w:type="dxa" w:w="2880"/>
          </w:tcPr>
          <w:p>
            <w:r>
              <w:t>Short rotation coppice</w:t>
            </w:r>
          </w:p>
        </w:tc>
        <w:tc>
          <w:tcPr>
            <w:tcW w:type="dxa" w:w="2880"/>
          </w:tcPr>
          <w:p>
            <w:r/>
          </w:p>
        </w:tc>
      </w:tr>
      <w:tr>
        <w:tc>
          <w:tcPr>
            <w:tcW w:type="dxa" w:w="2880"/>
          </w:tcPr>
          <w:p>
            <w:r>
              <w:t>Tanins condensés</w:t>
            </w:r>
          </w:p>
        </w:tc>
        <w:tc>
          <w:tcPr>
            <w:tcW w:type="dxa" w:w="2880"/>
          </w:tcPr>
          <w:p>
            <w:r>
              <w:t>Condensed tannins</w:t>
            </w:r>
          </w:p>
        </w:tc>
        <w:tc>
          <w:tcPr>
            <w:tcW w:type="dxa" w:w="2880"/>
          </w:tcPr>
          <w:p>
            <w:r/>
          </w:p>
        </w:tc>
      </w:tr>
      <w:tr>
        <w:tc>
          <w:tcPr>
            <w:tcW w:type="dxa" w:w="2880"/>
          </w:tcPr>
          <w:p>
            <w:r>
              <w:t>Tolérance au cadmium</w:t>
            </w:r>
          </w:p>
        </w:tc>
        <w:tc>
          <w:tcPr>
            <w:tcW w:type="dxa" w:w="2880"/>
          </w:tcPr>
          <w:p>
            <w:r>
              <w:t>Cadmium tolerance</w:t>
            </w:r>
          </w:p>
        </w:tc>
        <w:tc>
          <w:tcPr>
            <w:tcW w:type="dxa" w:w="2880"/>
          </w:tcPr>
          <w:p>
            <w:r/>
          </w:p>
        </w:tc>
      </w:tr>
      <w:tr>
        <w:tc>
          <w:tcPr>
            <w:tcW w:type="dxa" w:w="2880"/>
          </w:tcPr>
          <w:p>
            <w:r>
              <w:t>Tolérance au plomb</w:t>
            </w:r>
          </w:p>
        </w:tc>
        <w:tc>
          <w:tcPr>
            <w:tcW w:type="dxa" w:w="2880"/>
          </w:tcPr>
          <w:p>
            <w:r>
              <w:t>Lead tolerance</w:t>
            </w:r>
          </w:p>
        </w:tc>
        <w:tc>
          <w:tcPr>
            <w:tcW w:type="dxa" w:w="2880"/>
          </w:tcPr>
          <w:p>
            <w:r/>
          </w:p>
        </w:tc>
      </w:tr>
      <w:tr>
        <w:tc>
          <w:tcPr>
            <w:tcW w:type="dxa" w:w="2880"/>
          </w:tcPr>
          <w:p>
            <w:r>
              <w:t>Tolérance au zinc</w:t>
            </w:r>
          </w:p>
        </w:tc>
        <w:tc>
          <w:tcPr>
            <w:tcW w:type="dxa" w:w="2880"/>
          </w:tcPr>
          <w:p>
            <w:r>
              <w:t>Zinc tolerance</w:t>
            </w:r>
          </w:p>
        </w:tc>
        <w:tc>
          <w:tcPr>
            <w:tcW w:type="dxa" w:w="2880"/>
          </w:tcPr>
          <w:p>
            <w:r/>
          </w:p>
        </w:tc>
      </w:tr>
      <w:tr>
        <w:tc>
          <w:tcPr>
            <w:tcW w:type="dxa" w:w="2880"/>
          </w:tcPr>
          <w:p>
            <w:r>
              <w:t>Trichoderma harzianum</w:t>
            </w:r>
          </w:p>
        </w:tc>
        <w:tc>
          <w:tcPr>
            <w:tcW w:type="dxa" w:w="2880"/>
          </w:tcPr>
          <w:p>
            <w:r>
              <w:t>Trichoderma harzianum</w:t>
            </w:r>
          </w:p>
        </w:tc>
        <w:tc>
          <w:tcPr>
            <w:tcW w:type="dxa" w:w="2880"/>
          </w:tcPr>
          <w:p>
            <w:r/>
          </w:p>
        </w:tc>
      </w:tr>
      <w:tr>
        <w:tc>
          <w:tcPr>
            <w:tcW w:type="dxa" w:w="2880"/>
          </w:tcPr>
          <w:p>
            <w:r>
              <w:t>Tryptophane</w:t>
            </w:r>
          </w:p>
        </w:tc>
        <w:tc>
          <w:tcPr>
            <w:tcW w:type="dxa" w:w="2880"/>
          </w:tcPr>
          <w:p>
            <w:r>
              <w:t>Tryptophan</w:t>
            </w:r>
          </w:p>
        </w:tc>
        <w:tc>
          <w:tcPr>
            <w:tcW w:type="dxa" w:w="2880"/>
          </w:tcPr>
          <w:p>
            <w:r/>
          </w:p>
        </w:tc>
      </w:tr>
      <w:tr>
        <w:tc>
          <w:tcPr>
            <w:tcW w:type="dxa" w:w="2880"/>
          </w:tcPr>
          <w:p>
            <w:r>
              <w:t>acide 3-phényllactique</w:t>
            </w:r>
          </w:p>
        </w:tc>
        <w:tc>
          <w:tcPr>
            <w:tcW w:type="dxa" w:w="2880"/>
          </w:tcPr>
          <w:p>
            <w:r>
              <w:t>3-phenyllactic acid</w:t>
            </w:r>
          </w:p>
        </w:tc>
        <w:tc>
          <w:tcPr>
            <w:tcW w:type="dxa" w:w="2880"/>
          </w:tcPr>
          <w:p>
            <w:r>
              <w:t>PLA ; acide β-phényllactique ; acide 2-hydroxy-3-phénylpropionique</w:t>
            </w:r>
          </w:p>
        </w:tc>
      </w:tr>
      <w:tr>
        <w:tc>
          <w:tcPr>
            <w:tcW w:type="dxa" w:w="2880"/>
          </w:tcPr>
          <w:p>
            <w:r>
              <w:t>acides humiques et fulviques</w:t>
            </w:r>
          </w:p>
        </w:tc>
        <w:tc>
          <w:tcPr>
            <w:tcW w:type="dxa" w:w="2880"/>
          </w:tcPr>
          <w:p>
            <w:r>
              <w:t>humic and fulvic acids</w:t>
            </w:r>
          </w:p>
        </w:tc>
        <w:tc>
          <w:tcPr>
            <w:tcW w:type="dxa" w:w="2880"/>
          </w:tcPr>
          <w:p>
            <w:r>
              <w:t>substances humiques ; fractions extractibles de l'humus ; acides organiques complexes</w:t>
            </w:r>
          </w:p>
        </w:tc>
      </w:tr>
      <w:tr>
        <w:tc>
          <w:tcPr>
            <w:tcW w:type="dxa" w:w="2880"/>
          </w:tcPr>
          <w:p>
            <w:r>
              <w:t>bio-inoculant</w:t>
            </w:r>
          </w:p>
        </w:tc>
        <w:tc>
          <w:tcPr>
            <w:tcW w:type="dxa" w:w="2880"/>
          </w:tcPr>
          <w:p>
            <w:r>
              <w:t>bioinoculant</w:t>
            </w:r>
          </w:p>
        </w:tc>
        <w:tc>
          <w:tcPr>
            <w:tcW w:type="dxa" w:w="2880"/>
          </w:tcPr>
          <w:p>
            <w:r>
              <w:t>biofertilisant ; inoculum microbien ; agent de biostimulation</w:t>
            </w:r>
          </w:p>
        </w:tc>
      </w:tr>
      <w:tr>
        <w:tc>
          <w:tcPr>
            <w:tcW w:type="dxa" w:w="2880"/>
          </w:tcPr>
          <w:p>
            <w:r>
              <w:t>biostimulants</w:t>
            </w:r>
          </w:p>
        </w:tc>
        <w:tc>
          <w:tcPr>
            <w:tcW w:type="dxa" w:w="2880"/>
          </w:tcPr>
          <w:p>
            <w:r>
              <w:t>biostimulants</w:t>
            </w:r>
          </w:p>
        </w:tc>
        <w:tc>
          <w:tcPr>
            <w:tcW w:type="dxa" w:w="2880"/>
          </w:tcPr>
          <w:p>
            <w:r>
              <w:t>substances biostimulantes ; biostimulants microbiens</w:t>
            </w:r>
          </w:p>
        </w:tc>
      </w:tr>
      <w:tr>
        <w:tc>
          <w:tcPr>
            <w:tcW w:type="dxa" w:w="2880"/>
          </w:tcPr>
          <w:p>
            <w:r>
              <w:t>chaîne causale (substrat→métabolites→microbiome→plante)</w:t>
            </w:r>
          </w:p>
        </w:tc>
        <w:tc>
          <w:tcPr>
            <w:tcW w:type="dxa" w:w="2880"/>
          </w:tcPr>
          <w:p>
            <w:r>
              <w:t>causal chain</w:t>
            </w:r>
          </w:p>
        </w:tc>
        <w:tc>
          <w:tcPr>
            <w:tcW w:type="dxa" w:w="2880"/>
          </w:tcPr>
          <w:p>
            <w:r>
              <w:t>chaîne causale biostimulants ; cascade d'effets biologiques ; séquence d'action des biostimulants</w:t>
            </w:r>
          </w:p>
        </w:tc>
      </w:tr>
      <w:tr>
        <w:tc>
          <w:tcPr>
            <w:tcW w:type="dxa" w:w="2880"/>
          </w:tcPr>
          <w:p>
            <w:r>
              <w:t>chitosane</w:t>
            </w:r>
          </w:p>
        </w:tc>
        <w:tc>
          <w:tcPr>
            <w:tcW w:type="dxa" w:w="2880"/>
          </w:tcPr>
          <w:p>
            <w:r>
              <w:t>chitosan</w:t>
            </w:r>
          </w:p>
        </w:tc>
        <w:tc>
          <w:tcPr>
            <w:tcW w:type="dxa" w:w="2880"/>
          </w:tcPr>
          <w:p>
            <w:r/>
          </w:p>
        </w:tc>
      </w:tr>
      <w:tr>
        <w:tc>
          <w:tcPr>
            <w:tcW w:type="dxa" w:w="2880"/>
          </w:tcPr>
          <w:p>
            <w:r>
              <w:t>chélation par acides aminés</w:t>
            </w:r>
          </w:p>
        </w:tc>
        <w:tc>
          <w:tcPr>
            <w:tcW w:type="dxa" w:w="2880"/>
          </w:tcPr>
          <w:p>
            <w:r>
              <w:t>amino acid chelation</w:t>
            </w:r>
          </w:p>
        </w:tc>
        <w:tc>
          <w:tcPr>
            <w:tcW w:type="dxa" w:w="2880"/>
          </w:tcPr>
          <w:p>
            <w:r/>
          </w:p>
        </w:tc>
      </w:tr>
      <w:tr>
        <w:tc>
          <w:tcPr>
            <w:tcW w:type="dxa" w:w="2880"/>
          </w:tcPr>
          <w:p>
            <w:r>
              <w:t>compostage</w:t>
            </w:r>
          </w:p>
        </w:tc>
        <w:tc>
          <w:tcPr>
            <w:tcW w:type="dxa" w:w="2880"/>
          </w:tcPr>
          <w:p>
            <w:r>
              <w:t>composting</w:t>
            </w:r>
          </w:p>
        </w:tc>
        <w:tc>
          <w:tcPr>
            <w:tcW w:type="dxa" w:w="2880"/>
          </w:tcPr>
          <w:p>
            <w:r>
              <w:t>stabilisation aérobie de la MO ; transformation biologique des déchets ; humification contrôlée</w:t>
            </w:r>
          </w:p>
        </w:tc>
      </w:tr>
      <w:tr>
        <w:tc>
          <w:tcPr>
            <w:tcW w:type="dxa" w:w="2880"/>
          </w:tcPr>
          <w:p>
            <w:r>
              <w:t>diagnostic de sol</w:t>
            </w:r>
          </w:p>
        </w:tc>
        <w:tc>
          <w:tcPr>
            <w:tcW w:type="dxa" w:w="2880"/>
          </w:tcPr>
          <w:p>
            <w:r>
              <w:t>soil health assessment ; soil diagnosis</w:t>
            </w:r>
          </w:p>
        </w:tc>
        <w:tc>
          <w:tcPr>
            <w:tcW w:type="dxa" w:w="2880"/>
          </w:tcPr>
          <w:p>
            <w:r>
              <w:t>bilan de santé du sol</w:t>
            </w:r>
          </w:p>
        </w:tc>
      </w:tr>
      <w:tr>
        <w:tc>
          <w:tcPr>
            <w:tcW w:type="dxa" w:w="2880"/>
          </w:tcPr>
          <w:p>
            <w:r>
              <w:t>diversité de rotation</w:t>
            </w:r>
          </w:p>
        </w:tc>
        <w:tc>
          <w:tcPr>
            <w:tcW w:type="dxa" w:w="2880"/>
          </w:tcPr>
          <w:p>
            <w:r>
              <w:t>crop rotation diversity</w:t>
            </w:r>
          </w:p>
        </w:tc>
        <w:tc>
          <w:tcPr>
            <w:tcW w:type="dxa" w:w="2880"/>
          </w:tcPr>
          <w:p>
            <w:r>
              <w:t>rotation culturale diversifiée</w:t>
            </w:r>
          </w:p>
        </w:tc>
      </w:tr>
      <w:tr>
        <w:tc>
          <w:tcPr>
            <w:tcW w:type="dxa" w:w="2880"/>
          </w:tcPr>
          <w:p>
            <w:r>
              <w:t>drainage biologique</w:t>
            </w:r>
          </w:p>
        </w:tc>
        <w:tc>
          <w:tcPr>
            <w:tcW w:type="dxa" w:w="2880"/>
          </w:tcPr>
          <w:p>
            <w:r>
              <w:t>biological drainage ; biopore-mediated drainage</w:t>
            </w:r>
          </w:p>
        </w:tc>
        <w:tc>
          <w:tcPr>
            <w:tcW w:type="dxa" w:w="2880"/>
          </w:tcPr>
          <w:p>
            <w:r>
              <w:t>biopores ; drainage racinaire</w:t>
            </w:r>
          </w:p>
        </w:tc>
      </w:tr>
      <w:tr>
        <w:tc>
          <w:tcPr>
            <w:tcW w:type="dxa" w:w="2880"/>
          </w:tcPr>
          <w:p>
            <w:r>
              <w:t>effets de bordure</w:t>
            </w:r>
          </w:p>
        </w:tc>
        <w:tc>
          <w:tcPr>
            <w:tcW w:type="dxa" w:w="2880"/>
          </w:tcPr>
          <w:p>
            <w:r>
              <w:t>edge effect</w:t>
            </w:r>
          </w:p>
        </w:tc>
        <w:tc>
          <w:tcPr>
            <w:tcW w:type="dxa" w:w="2880"/>
          </w:tcPr>
          <w:p>
            <w:r>
              <w:t>effet lisière</w:t>
            </w:r>
          </w:p>
        </w:tc>
      </w:tr>
      <w:tr>
        <w:tc>
          <w:tcPr>
            <w:tcW w:type="dxa" w:w="2880"/>
          </w:tcPr>
          <w:p>
            <w:r>
              <w:t>engrais verts</w:t>
            </w:r>
          </w:p>
        </w:tc>
        <w:tc>
          <w:tcPr>
            <w:tcW w:type="dxa" w:w="2880"/>
          </w:tcPr>
          <w:p>
            <w:r>
              <w:t>green manure</w:t>
            </w:r>
          </w:p>
        </w:tc>
        <w:tc>
          <w:tcPr>
            <w:tcW w:type="dxa" w:w="2880"/>
          </w:tcPr>
          <w:p>
            <w:r>
              <w:t>plantes de couverture</w:t>
            </w:r>
          </w:p>
        </w:tc>
      </w:tr>
      <w:tr>
        <w:tc>
          <w:tcPr>
            <w:tcW w:type="dxa" w:w="2880"/>
          </w:tcPr>
          <w:p>
            <w:r>
              <w:t>enrobage de semences biologique</w:t>
            </w:r>
          </w:p>
        </w:tc>
        <w:tc>
          <w:tcPr>
            <w:tcW w:type="dxa" w:w="2880"/>
          </w:tcPr>
          <w:p>
            <w:r>
              <w:t>biological seed coating</w:t>
            </w:r>
          </w:p>
        </w:tc>
        <w:tc>
          <w:tcPr>
            <w:tcW w:type="dxa" w:w="2880"/>
          </w:tcPr>
          <w:p>
            <w:r>
              <w:t>pelliculage biologique ; pelliculage microbien ; coating biologique</w:t>
            </w:r>
          </w:p>
        </w:tc>
      </w:tr>
      <w:tr>
        <w:tc>
          <w:tcPr>
            <w:tcW w:type="dxa" w:w="2880"/>
          </w:tcPr>
          <w:p>
            <w:r>
              <w:t>extraits d'algues</w:t>
            </w:r>
          </w:p>
        </w:tc>
        <w:tc>
          <w:tcPr>
            <w:tcW w:type="dxa" w:w="2880"/>
          </w:tcPr>
          <w:p>
            <w:r>
              <w:t>seaweed extracts</w:t>
            </w:r>
          </w:p>
        </w:tc>
        <w:tc>
          <w:tcPr>
            <w:tcW w:type="dxa" w:w="2880"/>
          </w:tcPr>
          <w:p>
            <w:r/>
          </w:p>
        </w:tc>
      </w:tr>
      <w:tr>
        <w:tc>
          <w:tcPr>
            <w:tcW w:type="dxa" w:w="2880"/>
          </w:tcPr>
          <w:p>
            <w:r>
              <w:t>facteurs de rendement</w:t>
            </w:r>
          </w:p>
        </w:tc>
        <w:tc>
          <w:tcPr>
            <w:tcW w:type="dxa" w:w="2880"/>
          </w:tcPr>
          <w:p>
            <w:r>
              <w:t>yield factors</w:t>
            </w:r>
          </w:p>
        </w:tc>
        <w:tc>
          <w:tcPr>
            <w:tcW w:type="dxa" w:w="2880"/>
          </w:tcPr>
          <w:p>
            <w:r>
              <w:t>composantes du rendement</w:t>
            </w:r>
          </w:p>
        </w:tc>
      </w:tr>
      <w:tr>
        <w:tc>
          <w:tcPr>
            <w:tcW w:type="dxa" w:w="2880"/>
          </w:tcPr>
          <w:p>
            <w:r>
              <w:t>fertilité biologique</w:t>
            </w:r>
          </w:p>
        </w:tc>
        <w:tc>
          <w:tcPr>
            <w:tcW w:type="dxa" w:w="2880"/>
          </w:tcPr>
          <w:p>
            <w:r>
              <w:t>biological soil fertility</w:t>
            </w:r>
          </w:p>
        </w:tc>
        <w:tc>
          <w:tcPr>
            <w:tcW w:type="dxa" w:w="2880"/>
          </w:tcPr>
          <w:p>
            <w:r>
              <w:t>santé biologique du sol</w:t>
            </w:r>
          </w:p>
        </w:tc>
      </w:tr>
      <w:tr>
        <w:tc>
          <w:tcPr>
            <w:tcW w:type="dxa" w:w="2880"/>
          </w:tcPr>
          <w:p>
            <w:r>
              <w:t>flore microbienne</w:t>
            </w:r>
          </w:p>
        </w:tc>
        <w:tc>
          <w:tcPr>
            <w:tcW w:type="dxa" w:w="2880"/>
          </w:tcPr>
          <w:p>
            <w:r>
              <w:t>soil microbial flora ; soil microbiota</w:t>
            </w:r>
          </w:p>
        </w:tc>
        <w:tc>
          <w:tcPr>
            <w:tcW w:type="dxa" w:w="2880"/>
          </w:tcPr>
          <w:p>
            <w:r>
              <w:t>microbiome du sol ; microbiote tellurique</w:t>
            </w:r>
          </w:p>
        </w:tc>
      </w:tr>
      <w:tr>
        <w:tc>
          <w:tcPr>
            <w:tcW w:type="dxa" w:w="2880"/>
          </w:tcPr>
          <w:p>
            <w:r>
              <w:t>fongitoxicité</w:t>
            </w:r>
          </w:p>
        </w:tc>
        <w:tc>
          <w:tcPr>
            <w:tcW w:type="dxa" w:w="2880"/>
          </w:tcPr>
          <w:p>
            <w:r>
              <w:t>fungitoxicity</w:t>
            </w:r>
          </w:p>
        </w:tc>
        <w:tc>
          <w:tcPr>
            <w:tcW w:type="dxa" w:w="2880"/>
          </w:tcPr>
          <w:p>
            <w:r>
              <w:t>toxicité fongique</w:t>
            </w:r>
          </w:p>
        </w:tc>
      </w:tr>
      <w:tr>
        <w:tc>
          <w:tcPr>
            <w:tcW w:type="dxa" w:w="2880"/>
          </w:tcPr>
          <w:p>
            <w:r>
              <w:t>gestion de la biomasse</w:t>
            </w:r>
          </w:p>
        </w:tc>
        <w:tc>
          <w:tcPr>
            <w:tcW w:type="dxa" w:w="2880"/>
          </w:tcPr>
          <w:p>
            <w:r>
              <w:t>biomass management</w:t>
            </w:r>
          </w:p>
        </w:tc>
        <w:tc>
          <w:tcPr>
            <w:tcW w:type="dxa" w:w="2880"/>
          </w:tcPr>
          <w:p>
            <w:r>
              <w:t>pilotage des flux organiques</w:t>
            </w:r>
          </w:p>
        </w:tc>
      </w:tr>
      <w:tr>
        <w:tc>
          <w:tcPr>
            <w:tcW w:type="dxa" w:w="2880"/>
          </w:tcPr>
          <w:p>
            <w:r>
              <w:t>glyphosate et microbiome</w:t>
            </w:r>
          </w:p>
        </w:tc>
        <w:tc>
          <w:tcPr>
            <w:tcW w:type="dxa" w:w="2880"/>
          </w:tcPr>
          <w:p>
            <w:r>
              <w:t>glyphosate impact on microbiome</w:t>
            </w:r>
          </w:p>
        </w:tc>
        <w:tc>
          <w:tcPr>
            <w:tcW w:type="dxa" w:w="2880"/>
          </w:tcPr>
          <w:p>
            <w:r>
              <w:t>impact herbicide sur la microflore</w:t>
            </w:r>
          </w:p>
        </w:tc>
      </w:tr>
      <w:tr>
        <w:tc>
          <w:tcPr>
            <w:tcW w:type="dxa" w:w="2880"/>
          </w:tcPr>
          <w:p>
            <w:r>
              <w:t>herbicide de biocontrôle</w:t>
            </w:r>
          </w:p>
        </w:tc>
        <w:tc>
          <w:tcPr>
            <w:tcW w:type="dxa" w:w="2880"/>
          </w:tcPr>
          <w:p>
            <w:r>
              <w:t>biocontrol herbicide</w:t>
            </w:r>
          </w:p>
        </w:tc>
        <w:tc>
          <w:tcPr>
            <w:tcW w:type="dxa" w:w="2880"/>
          </w:tcPr>
          <w:p>
            <w:r>
              <w:t>bioherbicide</w:t>
            </w:r>
          </w:p>
        </w:tc>
      </w:tr>
      <w:tr>
        <w:tc>
          <w:tcPr>
            <w:tcW w:type="dxa" w:w="2880"/>
          </w:tcPr>
          <w:p>
            <w:r>
              <w:t>ingénierie du microbiome</w:t>
            </w:r>
          </w:p>
        </w:tc>
        <w:tc>
          <w:tcPr>
            <w:tcW w:type="dxa" w:w="2880"/>
          </w:tcPr>
          <w:p>
            <w:r>
              <w:t>microbiome engineering</w:t>
            </w:r>
          </w:p>
        </w:tc>
        <w:tc>
          <w:tcPr>
            <w:tcW w:type="dxa" w:w="2880"/>
          </w:tcPr>
          <w:p>
            <w:r/>
          </w:p>
        </w:tc>
      </w:tr>
      <w:tr>
        <w:tc>
          <w:tcPr>
            <w:tcW w:type="dxa" w:w="2880"/>
          </w:tcPr>
          <w:p>
            <w:r>
              <w:t>inoculation mycorhizienne</w:t>
            </w:r>
          </w:p>
        </w:tc>
        <w:tc>
          <w:tcPr>
            <w:tcW w:type="dxa" w:w="2880"/>
          </w:tcPr>
          <w:p>
            <w:r>
              <w:t>mycorrhizal inoculation</w:t>
            </w:r>
          </w:p>
        </w:tc>
        <w:tc>
          <w:tcPr>
            <w:tcW w:type="dxa" w:w="2880"/>
          </w:tcPr>
          <w:p>
            <w:r>
              <w:t>bio-fertilisation mycorhizienne</w:t>
            </w:r>
          </w:p>
        </w:tc>
      </w:tr>
      <w:tr>
        <w:tc>
          <w:tcPr>
            <w:tcW w:type="dxa" w:w="2880"/>
          </w:tcPr>
          <w:p>
            <w:r>
              <w:t>inoculum mycorhizien</w:t>
            </w:r>
          </w:p>
        </w:tc>
        <w:tc>
          <w:tcPr>
            <w:tcW w:type="dxa" w:w="2880"/>
          </w:tcPr>
          <w:p>
            <w:r>
              <w:t>mycorrhizal inoculum</w:t>
            </w:r>
          </w:p>
        </w:tc>
        <w:tc>
          <w:tcPr>
            <w:tcW w:type="dxa" w:w="2880"/>
          </w:tcPr>
          <w:p>
            <w:r>
              <w:t>inoculant de champignons mycorhiziens ; propagules de mycorhizes</w:t>
            </w:r>
          </w:p>
        </w:tc>
      </w:tr>
      <w:tr>
        <w:tc>
          <w:tcPr>
            <w:tcW w:type="dxa" w:w="2880"/>
          </w:tcPr>
          <w:p>
            <w:r>
              <w:t>interculture</w:t>
            </w:r>
          </w:p>
        </w:tc>
        <w:tc>
          <w:tcPr>
            <w:tcW w:type="dxa" w:w="2880"/>
          </w:tcPr>
          <w:p>
            <w:r>
              <w:t>intercropping period ; catch crop period</w:t>
            </w:r>
          </w:p>
        </w:tc>
        <w:tc>
          <w:tcPr>
            <w:tcW w:type="dxa" w:w="2880"/>
          </w:tcPr>
          <w:p>
            <w:r>
              <w:t>entre-culture</w:t>
            </w:r>
          </w:p>
        </w:tc>
      </w:tr>
      <w:tr>
        <w:tc>
          <w:tcPr>
            <w:tcW w:type="dxa" w:w="2880"/>
          </w:tcPr>
          <w:p>
            <w:r>
              <w:t>intégration polyculture-élevage</w:t>
            </w:r>
          </w:p>
        </w:tc>
        <w:tc>
          <w:tcPr>
            <w:tcW w:type="dxa" w:w="2880"/>
          </w:tcPr>
          <w:p>
            <w:r>
              <w:t>crop-livestock integration</w:t>
            </w:r>
          </w:p>
        </w:tc>
        <w:tc>
          <w:tcPr>
            <w:tcW w:type="dxa" w:w="2880"/>
          </w:tcPr>
          <w:p>
            <w:r>
              <w:t>système polyculture-élevage</w:t>
            </w:r>
          </w:p>
        </w:tc>
      </w:tr>
      <w:tr>
        <w:tc>
          <w:tcPr>
            <w:tcW w:type="dxa" w:w="2880"/>
          </w:tcPr>
          <w:p>
            <w:r>
              <w:t>labour de conservation</w:t>
            </w:r>
          </w:p>
        </w:tc>
        <w:tc>
          <w:tcPr>
            <w:tcW w:type="dxa" w:w="2880"/>
          </w:tcPr>
          <w:p>
            <w:r>
              <w:t>conservation tillage ; reduced tillage</w:t>
            </w:r>
          </w:p>
        </w:tc>
        <w:tc>
          <w:tcPr>
            <w:tcW w:type="dxa" w:w="2880"/>
          </w:tcPr>
          <w:p>
            <w:r>
              <w:t>technique culturale simplifiée</w:t>
            </w:r>
          </w:p>
        </w:tc>
      </w:tr>
      <w:tr>
        <w:tc>
          <w:tcPr>
            <w:tcW w:type="dxa" w:w="2880"/>
          </w:tcPr>
          <w:p>
            <w:r>
              <w:t>lutte biologique par conservation</w:t>
            </w:r>
          </w:p>
        </w:tc>
        <w:tc>
          <w:tcPr>
            <w:tcW w:type="dxa" w:w="2880"/>
          </w:tcPr>
          <w:p>
            <w:r>
              <w:t>conservation biological control (CBC)</w:t>
            </w:r>
          </w:p>
        </w:tc>
        <w:tc>
          <w:tcPr>
            <w:tcW w:type="dxa" w:w="2880"/>
          </w:tcPr>
          <w:p>
            <w:r>
              <w:t>biocontrôle par aménagement de l'habitat</w:t>
            </w:r>
          </w:p>
        </w:tc>
      </w:tr>
      <w:tr>
        <w:tc>
          <w:tcPr>
            <w:tcW w:type="dxa" w:w="2880"/>
          </w:tcPr>
          <w:p>
            <w:r>
              <w:t>maraîchage sur sol vivant</w:t>
            </w:r>
          </w:p>
        </w:tc>
        <w:tc>
          <w:tcPr>
            <w:tcW w:type="dxa" w:w="2880"/>
          </w:tcPr>
          <w:p>
            <w:r>
              <w:t>living soil market gardening</w:t>
            </w:r>
          </w:p>
        </w:tc>
        <w:tc>
          <w:tcPr>
            <w:tcW w:type="dxa" w:w="2880"/>
          </w:tcPr>
          <w:p>
            <w:r>
              <w:t>maraîchage agroécologique sans labour</w:t>
            </w:r>
          </w:p>
        </w:tc>
      </w:tr>
      <w:tr>
        <w:tc>
          <w:tcPr>
            <w:tcW w:type="dxa" w:w="2880"/>
          </w:tcPr>
          <w:p>
            <w:r>
              <w:t>micro-organismes efficaces</w:t>
            </w:r>
          </w:p>
        </w:tc>
        <w:tc>
          <w:tcPr>
            <w:tcW w:type="dxa" w:w="2880"/>
          </w:tcPr>
          <w:p>
            <w:r>
              <w:t>Effective Microorganisms</w:t>
            </w:r>
          </w:p>
        </w:tc>
        <w:tc>
          <w:tcPr>
            <w:tcW w:type="dxa" w:w="2880"/>
          </w:tcPr>
          <w:p>
            <w:r>
              <w:t>EM · Effective Microorganisms</w:t>
            </w:r>
          </w:p>
        </w:tc>
      </w:tr>
      <w:tr>
        <w:tc>
          <w:tcPr>
            <w:tcW w:type="dxa" w:w="2880"/>
          </w:tcPr>
          <w:p>
            <w:r>
              <w:t>modèle de langage protéique</w:t>
            </w:r>
          </w:p>
        </w:tc>
        <w:tc>
          <w:tcPr>
            <w:tcW w:type="dxa" w:w="2880"/>
          </w:tcPr>
          <w:p>
            <w:r>
              <w:t>protein language model (pLM)</w:t>
            </w:r>
          </w:p>
        </w:tc>
        <w:tc>
          <w:tcPr>
            <w:tcW w:type="dxa" w:w="2880"/>
          </w:tcPr>
          <w:p>
            <w:r/>
          </w:p>
        </w:tc>
      </w:tr>
      <w:tr>
        <w:tc>
          <w:tcPr>
            <w:tcW w:type="dxa" w:w="2880"/>
          </w:tcPr>
          <w:p>
            <w:r>
              <w:t>période critique de colonisation mycorhizienne</w:t>
            </w:r>
          </w:p>
        </w:tc>
        <w:tc>
          <w:tcPr>
            <w:tcW w:type="dxa" w:w="2880"/>
          </w:tcPr>
          <w:p>
            <w:r>
              <w:t>critical period for mycorrhizal colonization</w:t>
            </w:r>
          </w:p>
        </w:tc>
        <w:tc>
          <w:tcPr>
            <w:tcW w:type="dxa" w:w="2880"/>
          </w:tcPr>
          <w:p>
            <w:r>
              <w:t>fenêtre d'infection mycorhizienne ; stade de sensibilité à l'inoculation</w:t>
            </w:r>
          </w:p>
        </w:tc>
      </w:tr>
      <w:tr>
        <w:tc>
          <w:tcPr>
            <w:tcW w:type="dxa" w:w="2880"/>
          </w:tcPr>
          <w:p>
            <w:r>
              <w:t>redondance fonctionnelle</w:t>
            </w:r>
          </w:p>
        </w:tc>
        <w:tc>
          <w:tcPr>
            <w:tcW w:type="dxa" w:w="2880"/>
          </w:tcPr>
          <w:p>
            <w:r>
              <w:t>functional redundancy</w:t>
            </w:r>
          </w:p>
        </w:tc>
        <w:tc>
          <w:tcPr>
            <w:tcW w:type="dxa" w:w="2880"/>
          </w:tcPr>
          <w:p>
            <w:r/>
          </w:p>
        </w:tc>
      </w:tr>
      <w:tr>
        <w:tc>
          <w:tcPr>
            <w:tcW w:type="dxa" w:w="2880"/>
          </w:tcPr>
          <w:p>
            <w:r>
              <w:t>rhizobactéries</w:t>
            </w:r>
          </w:p>
        </w:tc>
        <w:tc>
          <w:tcPr>
            <w:tcW w:type="dxa" w:w="2880"/>
          </w:tcPr>
          <w:p>
            <w:r>
              <w:t>rhizobacteria</w:t>
            </w:r>
          </w:p>
        </w:tc>
        <w:tc>
          <w:tcPr>
            <w:tcW w:type="dxa" w:w="2880"/>
          </w:tcPr>
          <w:p>
            <w:r>
              <w:t>PGPR ; bactéries de la rhizosphère ; bactéries favorisant la croissance des plantes</w:t>
            </w:r>
          </w:p>
        </w:tc>
      </w:tr>
      <w:tr>
        <w:tc>
          <w:tcPr>
            <w:tcW w:type="dxa" w:w="2880"/>
          </w:tcPr>
          <w:p>
            <w:r>
              <w:t>règle de conception coévolutive</w:t>
            </w:r>
          </w:p>
        </w:tc>
        <w:tc>
          <w:tcPr>
            <w:tcW w:type="dxa" w:w="2880"/>
          </w:tcPr>
          <w:p>
            <w:r>
              <w:t>coevolution-informed design rule</w:t>
            </w:r>
          </w:p>
        </w:tc>
        <w:tc>
          <w:tcPr>
            <w:tcW w:type="dxa" w:w="2880"/>
          </w:tcPr>
          <w:p>
            <w:r/>
          </w:p>
        </w:tc>
      </w:tr>
      <w:tr>
        <w:tc>
          <w:tcPr>
            <w:tcW w:type="dxa" w:w="2880"/>
          </w:tcPr>
          <w:p>
            <w:r>
              <w:t>semis direct sous couvert</w:t>
            </w:r>
          </w:p>
        </w:tc>
        <w:tc>
          <w:tcPr>
            <w:tcW w:type="dxa" w:w="2880"/>
          </w:tcPr>
          <w:p>
            <w:r>
              <w:t>no-till ; direct seeding into cover crops</w:t>
            </w:r>
          </w:p>
        </w:tc>
        <w:tc>
          <w:tcPr>
            <w:tcW w:type="dxa" w:w="2880"/>
          </w:tcPr>
          <w:p>
            <w:r>
              <w:t>agriculture sans labour ; semis direct</w:t>
            </w:r>
          </w:p>
        </w:tc>
      </w:tr>
      <w:tr>
        <w:tc>
          <w:tcPr>
            <w:tcW w:type="dxa" w:w="2880"/>
          </w:tcPr>
          <w:p>
            <w:r>
              <w:t>thé de compost aéré (ACT)</w:t>
            </w:r>
          </w:p>
        </w:tc>
        <w:tc>
          <w:tcPr>
            <w:tcW w:type="dxa" w:w="2880"/>
          </w:tcPr>
          <w:p>
            <w:r>
              <w:t>aerated compost tea (ACT)</w:t>
            </w:r>
          </w:p>
        </w:tc>
        <w:tc>
          <w:tcPr>
            <w:tcW w:type="dxa" w:w="2880"/>
          </w:tcPr>
          <w:p>
            <w:r/>
          </w:p>
        </w:tc>
      </w:tr>
      <w:tr>
        <w:tc>
          <w:tcPr>
            <w:tcW w:type="dxa" w:w="2880"/>
          </w:tcPr>
          <w:p>
            <w:r>
              <w:t>thés de compost oxygénés</w:t>
            </w:r>
          </w:p>
        </w:tc>
        <w:tc>
          <w:tcPr>
            <w:tcW w:type="dxa" w:w="2880"/>
          </w:tcPr>
          <w:p>
            <w:r>
              <w:t>aerated compost tea (ACT)</w:t>
            </w:r>
          </w:p>
        </w:tc>
        <w:tc>
          <w:tcPr>
            <w:tcW w:type="dxa" w:w="2880"/>
          </w:tcPr>
          <w:p>
            <w:r>
              <w:t>ACT · extrait de compost aéré ; extraits de compost aérés ; TCO ; jus de compost</w:t>
            </w:r>
          </w:p>
        </w:tc>
      </w:tr>
      <w:tr>
        <w:tc>
          <w:tcPr>
            <w:tcW w:type="dxa" w:w="2880"/>
          </w:tcPr>
          <w:p>
            <w:r>
              <w:t>vermicompost</w:t>
            </w:r>
          </w:p>
        </w:tc>
        <w:tc>
          <w:tcPr>
            <w:tcW w:type="dxa" w:w="2880"/>
          </w:tcPr>
          <w:p>
            <w:r>
              <w:t>vermicompost</w:t>
            </w:r>
          </w:p>
        </w:tc>
        <w:tc>
          <w:tcPr>
            <w:tcW w:type="dxa" w:w="2880"/>
          </w:tcPr>
          <w:p>
            <w:r/>
          </w:p>
        </w:tc>
      </w:tr>
    </w:tbl>
    <w:p/>
    <w:p>
      <w:pPr>
        <w:jc w:val="center"/>
      </w:pPr>
      <w:r>
        <w:rPr>
          <w:color w:val="999999"/>
          <w:sz w:val="18"/>
        </w:rPr>
        <w:t>────────────────────────────────────────</w:t>
      </w:r>
    </w:p>
    <w:p>
      <w:pPr>
        <w:pStyle w:val="Heading1"/>
      </w:pPr>
      <w:r>
        <w:t>Introduction</w:t>
      </w:r>
    </w:p>
    <w:p>
      <w:r>
        <w:t>Du bokashi au PGPR — les outils biologiques disponibles, leur mode d'action, leurs limites.</w:t>
      </w:r>
    </w:p>
    <w:p/>
    <w:p>
      <w:r>
        <w:t>→ Le bokashi + urine (N) + cendre (P,K) = approximation empirique du ratio de Kirkby. Pas besoin de calculer — la fermentation intègre naturellement les bons ratios si le substrat est diversifié.</w:t>
        <w:br/>
        <w:t>→ Sur sol dégradé (Zone 4) : MO incorporée + lacto-fermenté = amorçage. Contact MO-argile + inoculation simultanée + correction redox. 3 leviers en 1 geste.</w:t>
        <w:br/>
        <w:t>→ Sur sol vivant (Zone 1-2) : lacto-fermenté en surface uniquement. Le sol a ses propres acteurs — le ferment est un boost, pas une reconstruction.</w:t>
      </w:r>
    </w:p>
    <w:p>
      <w:r>
        <w:t>Biostimulants : Le levier de la transition biologique</w:t>
        <w:br/>
        <w:t>Les biostimulants ne sont pas de simples intrants, mais des outils de transition pour réduire la dépendance aux produits de synthèse(Negrelli et al., 2023).</w:t>
        <w:br/>
        <w:t>Soutien du microbiome : Ils stimulent les processus écologiques naturels, améliorant l'absorption des nutriments et la tolérance au stress abiotique en soutenant le microbiome du sol (Cruz, 2025; Hellequin et al., 2020).</w:t>
      </w:r>
    </w:p>
    <w:p>
      <w:r>
        <w:t>§1 Introduction: Le Korean Natural Farming (KNF) et le JADAM sont deux systèmes d'agriculture biologique développés en Corée du Sud, fondés sur la collecte et la multiplication de micro-organismes indigènes (IMO) et l</w:t>
        <w:br/>
        <w:t>§2 IMO : collecte et multiplication des micro-organismes indigènes: Le protocole IMO du KNF comporte 5 étapes de multiplication : IMO1 (collecte sur riz cuit en litière forestière), IMO2 (mélange avec sucre brun), IMO3 (expansion sur son de riz), IMO4 (mélange avec te</w:t>
        <w:br/>
        <w:t>§3 Préparations KNF : FPJ, FAA, OHN, BRV: Le KNF utilise plusieurs préparations spécialisées : FPJ (Fermented Plant Juice) : jus de plantes fermenté au sucre brun. FAA (Fish Amino Acid) : décomposition enzymatique du poisson par pression osmo</w:t>
        <w:br/>
        <w:t>§4 JADAM : JMS et solutions ultra-low-cost: Le système JADAM met l'accent sur l'autonomie paysanne et le coût minimal. JMS (JADAM Microbial Solution) : eau + pomme de terre bouillie + terre de sous-bois, fermenté 3 jours. JWA (JADAM Wetting Age</w:t>
        <w:br/>
        <w:t>§5 LiFoFer : la litière forestière fermentée: La LiFoFer (Litière Forestière Fermentée) est une préparation fermentaire à base de litière forestière diversifiée, obtenue par fermentation contrôlée anaérobie-aérobie sur 3 à 6 mois. Elle contient u</w:t>
      </w:r>
    </w:p>
    <w:p>
      <w:r>
        <w:t xml:space="preserve">§1 Introduction: Cette analyse croise 3 sources complémentaires : 1. SPNA (2016) — Bokashi comme amendement du sol : étude terrain 3 ans sur blé d'hiver. Bokashi vs compost vs témoin. Rétention MO 97% vs 38%. N stock </w:t>
        <w:br/>
        <w:t>§2 Bokashi : mécanisme et supériorité sur le compostage: vs oxydation aérobie. Données chiffrées SPNA + Agriton. Tableau comparatif. - V3 → S4 : Risque de priming effect par le carbone labile du bokashi frais - V2 → P3 : Mécanismes hormonaux (ACC désaminase</w:t>
        <w:br/>
        <w:t xml:space="preserve">§3 Effets mesurés sur le sol (données SPNA 3 ans): Nuance : vie du sol totale &gt; dans témoin (phase de stabilisation ?). - V2 → V3 : Métabolites fermentaires comme signaux hormonaux pour l'holobionte - P3 → H2 : Risque de transfert horizontal de gènes </w:t>
        <w:br/>
        <w:t>§4 Empreinte carbone et efficience: Implications pour le bilan GES de l'exploitation. - P3 → S4 : Risque de Priming Effect lors d'apports de carbone labile fermenté - V3 → S4 : Risque de priming effect par le carbone labile du bokashi f</w:t>
        <w:br/>
        <w:t>§5 PNSB et micro-organismes efficaces: Photohétérotrophie, fixation N2, production de phytohormones. Lien avec KNF/JADAM/LiFoFer. - V2 → V3 : Métabolites fermentaires comme signaux hormonaux pour l'holobionte - P3 → H2 : Risque de transfer</w:t>
      </w:r>
    </w:p>
    <w:p>
      <w:r>
        <w:t>§1 Introduction: Croisement de 4 sources : 1. Couverts végétaux (Triple Perf) — Mélanges multi-espèces, biomasse, C/N, services écosystémiques (fixation N2, structuration, protection) 2. Gestion de l'eau (Triple Perf)</w:t>
        <w:br/>
        <w:t xml:space="preserve">§2 Couverts végétaux multi-espèces: Biomasse produite, C/N, effet sur le sol. Données chiffrées. - P2 → S0 : Couverts : infiltration ×1.5-5, évaporation -24-32% - S4 → P2 : Stœchiométrie CNPS : choix couverts et amendements - P2 → S2 : </w:t>
        <w:br/>
        <w:t>§3 Gestion hydraulique du paysage: Impact sur la recharge des nappes et la résilience hydrique. - P4 → S0 : remontée hydraulique et résilience hydrique - S2 → S0 : Les films d'eau contrôlent l'activité microbienne — prérequis hydrauliq</w:t>
        <w:br/>
        <w:t>§4 ACS et bilan hydrique: réserve utile. Données comparatives labour vs SD. - P4 → S0 : remontée hydraulique et résilience hydrique - P2 → S1 : Le non-labour et le mulch comme prévention de l'hystérésis hydrique - S1 → S0 : ag</w:t>
        <w:br/>
        <w:t>§5 Maraîchage sur sol vivant (MSV): Résultats terrain : rendements, qualité, vie du sol. - P3 → H2 : Risque de transfert horizontal de gènes de résistance via inoculums fermentés - P2 → S4 : Le non-labour préserve les microsites anoxiqu</w:t>
      </w:r>
    </w:p>
    <w:p>
      <w:r>
        <w:t>## 1. Introduction et définition</w:t>
        <w:br/>
        <w:t>La fixation biologique de l'azote est un processus naturel par lequel des micro-organismes, principalement des bactéries du genre Bradyrhizobium, transforment l'azote atmosphérique () en ammoniac (), une forme assimilable par les plantes.(Tchichellé, 2016) Le « modèle brésilien » fait référence à l'intégration systématique et à grande échelle de cette technologie dans la culture du soja, permettant de se passer quasi totalement d'engrais azotés chimiques (Krisle et al., 2018; Zuffo et al., 2019)</w:t>
      </w:r>
    </w:p>
    <w:p>
      <w:r>
        <w:t>## 2. Historique et Fondements : Le Rôle de Johanna Döbereiner</w:t>
        <w:br/>
        <w:t>Le succès du modèle brésilien repose sur des travaux de recherche pionniers débutés dans les années 1960(Chaimovich &amp; Porto, 2022)</w:t>
        <w:br/>
        <w:t>Johanna Döbereiner : Cette chercheuse de l'Embrapa a joué un rôle fondamental en démontrant que la FBN pouvait rivaliser avec les engrais minéraux dans les légumineuses tropicales (Boaventura et al., 2023) Ses recherches ont montré l'efficacité de la sélection de souches bactériennes spécifiques pour la fixation biologique de l'azote (Boaventura et al., 2023)</w:t>
        <w:br/>
        <w:t>Le virage de 1964 : Un programme national de sélection du soja a été lancé pour adapter les variétés aux sols du Cerrado. Ce programme, fondé sur les recherches de Döbereiner, a été mis en œuvre en 1964 (Chaimovich &amp; Porto, 2022)</w:t>
      </w:r>
    </w:p>
    <w:p>
      <w:r>
        <w:t>## 3. Le Processus Biologique et l'Inoculation</w:t>
        <w:br/>
        <w:t>La réussite de la FBN au Brésil repose sur une symbiose spécifique :</w:t>
        <w:br/>
        <w:t>Agents biologiques : Les souches de Bradyrhizobium (comme B. japonicum) sont sélectionnées pour leur efficacité et leur résistance aux conditions climatiques brésiliennes (Krisle et al., 2018; Zuffo et al., 2019) et al., 2018; Zuffo et al., 2019)</w:t>
        <w:br/>
        <w:t>Pratiques culturales : L'inoculation se fait généralement lors du semis (Rodrigues et al., 2020) Une tendance émergente est la co-inoculation, associant le Bradyrhizobium à l'Azospirillum, une bactérie favorisant la croissance racinaire (Winding et al., 2020)</w:t>
        <w:br/>
        <w:t>Inhibition : Il est important de noter qu'une forte concentration de nitrates dans le sol peut inhiber sévèrement le processus de fixation (Dwivedi et al., 2014)</w:t>
      </w:r>
    </w:p>
    <w:p>
      <w:r>
        <w:t>## 4. Impacts Économiques et Environnementaux</w:t>
        <w:br/>
        <w:t>Économies financières : Le remplacement des engrais azotés par la FBN permet au Brésil d'économiser entre 10 et 15 milliards de USD par an (Rodrigues et al., 2020) et al., 2014)</w:t>
        <w:br/>
        <w:t>Compétitivité : Cette technologie réduit considérablement les coûts de production, rendant le soja brésilien extrêmement compétitif sur le marché mondial (Krisle et al., 2018)</w:t>
        <w:br/>
        <w:t>Bilan carbone : En évitant la production et le transport d'engrais chimiques très énergivores, la FBN réduit l'empreinte carbone et les impacts environnementaux liés au lessivage des nitrates (Sousa et al., 2018)</w:t>
      </w:r>
    </w:p>
    <w:p>
      <w:r>
        <w:t>## 5. Défis et Limites Actuels</w:t>
        <w:br/>
        <w:t>Malgré son succès, l'efficacité de la FBN peut être compromise par certains facteurs :</w:t>
        <w:br/>
        <w:t>Traitements chimiques : Plus de 90 % des semences de soja au Brésil sont traitées avec des pesticides ou fongicides, ce qui peut tuer les bactéries lors de l'inoculation si les produits ne sont pas compatibles(Rodrigues et al., 2020) et al., 2018)</w:t>
        <w:br/>
        <w:t>Conditions climatiques : La sécheresse ou des températures extrêmes dans le sol peuvent affecter la survie des bactéries inoculées(Wongdee et al., 2021; Yadav et al., 2020)</w:t>
      </w:r>
    </w:p>
    <w:p>
      <w:r>
        <w:t>## 6. Synthèse des Données Clés</w:t>
      </w:r>
    </w:p>
    <w:p>
      <w:r>
        <w:t>## Enrichissements</w:t>
      </w:r>
    </w:p>
    <w:p>
      <w:r>
        <w:t>### 1. Précision Technique : Les Souches Spécifiques</w:t>
        <w:br/>
        <w:t>Bien que le genre Bradyrhizobium soit mentionné, le modèle brésilien se distingue par l'utilisation de souches ultra-spécifiques sélectionnées pour leur résilience dans les sols tropicaux acides(Ramírez &amp; Damo, 2023)</w:t>
        <w:br/>
        <w:t>Enrichissement : Il serait pertinent de citer les quatre souches officiellement autorisées par le ministère de l'Agriculture pour le soja : B. japonicum, B. diazoefficiens, B. elkanii (SEMIA 587) et B. elkanii (SEMIA 5019) (Santos et al., 2019)</w:t>
        <w:br/>
        <w:t>Importance : Ces souches ont été isolées pour leur capacité à survivre à des températures de sol élevées et à rivaliser avec les bactéries indigènes moins efficaces(Hafiz et al., 2021; Rocha et al., 2021)</w:t>
      </w:r>
    </w:p>
    <w:p>
      <w:r>
        <w:t>### 2. Développement du Concept de Co-inoculation</w:t>
        <w:br/>
        <w:t>La co-inoculation s'effectue avec Azospirillum, mais l'intérêt majeur réside dans la synergie physiologique, et non pas seulement dans l'apport d'azote supplémentaire(Fukami et al., 2018)</w:t>
        <w:br/>
        <w:t>Enrichissement : L'Azospirillum brasilense agit en produisant des phytohormones (notamment des auxines) qui stimulent la croissance des racines latérales(Santos et al., 2021)</w:t>
        <w:br/>
        <w:t>Donnée clé : Cette pratique peut augmenter le rendement du soja de 14 à 16 % par rapport à une inoculation simple (Alessandro et al., 2023) Elle permet également une meilleure absorption de l'eau et des nutriments, renforçant la tolérance à la sécheresse(Evandro &amp; Joenes, 2017; Steiner et al., 2019)</w:t>
      </w:r>
    </w:p>
    <w:p>
      <w:r>
        <w:t>### 3. Étendre le modèle au-delà du soja : la canne à sucre</w:t>
        <w:br/>
        <w:t>Le « modèle brésilien » ne se limite pas au soja. Le succès de la FBN dans la canne à sucre est unique au monde et crucial pour la viabilité du bioéthanol(Sica et al., 2020) 2018)</w:t>
        <w:br/>
        <w:t>Il convient de mentionner la bactérie endophyte Gluconacetobacter diazotrophicus, découverte également par Johanna Döbereiner (Dent, 2018)</w:t>
        <w:br/>
        <w:t>Certaines variétés brésiliennes de canne à sucre obtiennent entre 60 % et 80 % de leurs besoins en azote via la FBN, ce qui rend la production de biocarburant énergétiquement très favorable (Boddey, 1995; Dent, 2018)</w:t>
      </w:r>
    </w:p>
    <w:p>
      <w:r>
        <w:t>### 4. La Synergie avec la Fertilisation Phosphatée</w:t>
        <w:br/>
        <w:t>Il est souvent ignoré que la FBN ne fonctionne pas de manière isolée des autres nutriments(Domergue, 2017)</w:t>
        <w:br/>
        <w:t>Point pertinent : Dans les sols du Cerrado, la disponibilité du phosphore (P) est un facteur crucial limitant la nodulation(Barbosa et al., 2019)</w:t>
        <w:br/>
        <w:t>Précision : Une carence en phosphore réduit directement le nombre et le poids des nodules, car le processus de fixation est extrêmement gourmand en énergie. Le modèle brésilien repose donc sur un équilibre strict entre la correction de l'acidité (chaulage) et l'apport de phosphore pour maximiser l'efficacité des bactéries(Barbosa et al., 2019)</w:t>
      </w:r>
    </w:p>
    <w:p>
      <w:r>
        <w:t>### 5. Le Cadre Institutionnel et Législatif</w:t>
        <w:br/>
        <w:t>Le succès brésilien est aussi dû à une organisation rigoureuse du marché des inoculants(Santos et al., 2019)</w:t>
        <w:br/>
        <w:t>Enrichissement : Le Brésil possède l'une des législations les plus complètes au monde concernant la qualité, le stockage et la commercialisation des inoculants (normes du MAPA depuis 2004/2011) (Santos et al., 2019)</w:t>
        <w:br/>
        <w:t>Argument : Cela garantit aux agriculteurs une concentration minimale en cellules vivantes par graine (Santos et al., 2019) ce qui est souvent le point faible de la FBN dans d'autres pays en développement(Alori &amp; Babalola, 2018)</w:t>
      </w:r>
    </w:p>
    <w:p>
      <w:r>
        <w:t>#### Suggestion de modification pour votre "Synthèse des Données Clés" :</w:t>
        <w:br/>
        <w:t>Vous pourriez ajouter une ligne sur la performance :</w:t>
        <w:br/>
        <w:t>Performance Co-inoculation : +16 % de rendement moyen par rapport à une inoculation simple (Alessandro et al., 2023)</w:t>
        <w:br/>
        <w:t>Autonomie N : 70 % à 95 % des besoins couverts par la FBN (Venâncio et al., 2024)</w:t>
        <w:br/>
        <w:t>References</w:t>
        <w:br/>
        <w:t>Alessandro, L. B., Marcos, V. R. M., Bernardo, A., Artur, B. L. R., Paulitsch, F., Luciane, M. M., Fernanda, G., Tárik, H. Y., Fernanda, G., Vinícius, T. Á., Fernanda, M. R. S. de F., &amp; Raul, A. (2023). Influence of seed co-inoculation with Bradyrhizobium species and Azospirillum brasilense on soybean development in Southern and Southeastern Brazil. African Journal of Agricultural Research, 19(1), 81. https://doi.org/10.5897/ajar2022.16234</w:t>
        <w:br/>
        <w:t>Alori, E. T., &amp; Babalola, O. O. (2018). Microbial Inoculants for Improving Crop Quality and Human Health in Africa [Review of Microbial Inoculants for Improving Crop Quality and Human Health in Africa]. Frontiers in Microbiology, 9. Frontiers Media. https://doi.org/10.3389/fmicb.2018.02213</w:t>
        <w:br/>
        <w:t>Barbosa, H. Z., Batista, K., Gimenes, F. M. de A., Gerdes, L., Giacomini, A. A., Mattos, W. T. de, &amp; Barbosa, C. M. P. (2019). Yield responses of Macrotyloma axillare (family Fabaceae) to combinations of doses of phosphorus and calcium. Semina Ciências Agrárias, 40(6), 2561. https://doi.org/10.5433/1679-0359.2019v40n6p2561</w:t>
        <w:br/>
        <w:t>Boaventura, K. de J., Silva, C. M. da, &amp; Silva, S. D. e. (2023). Building Soil Fertility: Embrapa and the Agronomic Development for the “Conquest” of the Brazilian Cerrado (1975-95). Historia Agraria Revista de Agricultura e Historia Rural. https://doi.org/10.26882/histagrar.089e08b</w:t>
        <w:br/>
        <w:t>Boddey, R. M. (1995). Biological Nitrogen Fixation in Sugar Cane: A Key to Energetically Viable Biofuel Production. Critical Reviews in Plant Sciences, 14(3), 263. https://doi.org/10.1080/713608118</w:t>
        <w:br/>
        <w:t>Chaimovich, H., &amp; Porto, P. A. (2022). Duzentos anos de ciência no Brasil. Revista USP, 135, 19. https://doi.org/10.11606/issn.2316-9036.i135p19-40</w:t>
        <w:br/>
        <w:t>Dent, D. (2018). Non-nodular Endophytic Bacterial Symbiosis and the Nitrogen Fixation of Gluconacetobacter diazotrophicus. In Symbiosis. Springer Science+Business Media. https://doi.org/10.5772/intechopen.75813</w:t>
        <w:br/>
        <w:t>Domergue, O. (2017). Functional diversity of Faba-bean associated rhizobia in agro-ecosystem of South of France. HAL (Le Centre Pour La Communication Scientifique Directe). https://theses.hal.science/tel-02107043</w:t>
        <w:br/>
        <w:t>Dwivedi, S. L., Sahrawat, K. L., Upadhyaya, H. D., Mengoni, A., Galardini, M., Bazzicalupo, M., Biondi, E. G., Hungría, M., Kaschuk, G., Blair, M. W., &amp; Ortíz, R. (2014). Advances in Host Plant and Rhizobium Genomics to Enhance Symbiotic Nitrogen Fixation in Grain Legumes. In Advances in agronomy (p. 1). Elsevier BV. https://doi.org/10.1016/bs.agron.2014.09.001</w:t>
        <w:br/>
        <w:t>Evandro, R., &amp; Joenes, M. P. (2017). Water use efficiency in soybean crop after inoculation with Azospirillum brasiliense in the Cerrado of Tocantins State, Brazil. AFRICAN JOURNAL OF BIOTECHNOLOGY, 16(39), 1922. https://doi.org/10.5897/ajb2017.16152</w:t>
        <w:br/>
        <w:t>Fukami, J., Cerezini, P., &amp; Hungría, M. (2018). Azospirillum: benefits that go far beyond biological nitrogen fixation [Review of Azospirillum: benefits that go far beyond biological nitrogen fixation]. AMB Express, 8(1). Springer Nature. https://doi.org/10.1186/s13568-018-0608-1</w:t>
        <w:br/>
        <w:t>Hafiz, M. H. R., Salehin, A., &amp; Itoh, K. (2021). Growth and Competitive Infection Behaviors of Bradyrhizobium japonicum and Bradyrhizobium elkanii at Different Temperatures. Horticulturae, 7(3), 41. https://doi.org/10.3390/horticulturae7030041</w:t>
        <w:br/>
        <w:t>Krisle, da S., Edmilson, E. da S., Eliane, do N. C. F., Josimar, da S. C., Christian, N. B. A., &amp; Carina, C. (2018). Agronomic efficiency of Bradyrhizobium pre-inoculation in association with chemical treatment of soybean seeds. African Journal of Agricultural Research, 13(14), 726. https://doi.org/10.5897/ajar2018.13016</w:t>
        <w:br/>
        <w:t>Ramírez, M. D. A., &amp; Damo, J. L. C. (2023). Symbiosis under Abiotic Stress and Its Challenges. In IntechOpen eBooks. IntechOpen. https://doi.org/10.5772/intechopen.109972</w:t>
        <w:br/>
        <w:t>Rocha, L. B., Costa, E. M. da, Costa, G. S., Silva, J., Ribeiro, E. C., Borges, J. F., Sousa, A. P. M. de, &amp; Moreira, F. M. de S. (2021). Bradyrhizobium brasilense as an efficient soybean microsymbiont in two contrasting soils of the southwestern region of Piauí (Cerrado biome). Revista Brasileira de Ciências Agrárias - Brazilian Journal of Agricultural Sciences, 16(2), 1. https://doi.org/10.5039/agraria.v16i3a212</w:t>
        <w:br/>
        <w:t>Rodrigues, T. F., Bender, F. R., Sanzovo, A. W. S., Ferreira, E., Nogueira, M. A., &amp; Hungría, M. (2020). Impact of pesticides in properties of Bradyrhizobium spp. and in the symbiotic performance with soybean. World Journal of Microbiology and Biotechnology, 36(11). https://doi.org/10.1007/s11274-020-02949-5</w:t>
        <w:br/>
        <w:t>Santos, M. S., Nogueira, M. A., &amp; Hungría, M. (2019). Microbial inoculants: reviewing the past, discussing the present and previewing an outstanding future for the use of beneficial bacteria in agriculture [Review of Microbial inoculants: reviewing the past, discussing the present and previewing an outstanding future for the use of beneficial bacteria in agriculture]. AMB Express, 9(1). Springer Nature. https://doi.org/10.1186/s13568-019-0932-0</w:t>
        <w:br/>
        <w:t>Santos, M. S., Nogueira, M. A., &amp; Hungría, M. (2021). Outstanding impact of Azospirillum brasilense strains Ab-V5 and Ab-V6 on the Brazilian agriculture: Lessons that farmers are receptive to adopt new microbial inoculants. Revista Brasileira de Ciência Do Solo, 45. https://doi.org/10.36783/18069657rbcs20200128</w:t>
        <w:br/>
        <w:t>Sica, P., Shirata, E. S., Rios, F. A., Biffe, D. F., Filho, J. U. T. B., Schwan‐Estrada, K. R. F., &amp; Oliveira, R. S. de. (2020). Impact of N-fixing bacterium Nitrospirillum amazonense on quality and quantitative parameters of sugarcane under field condition. Australian Journal of Crop Science, 1870. https://doi.org/10.21475/ajcs.20.14.12.2590</w:t>
        <w:br/>
        <w:t>Sousa, W. N. de, Brito, N. F., Santos, F. C. dos, Barros, I. B., Sousa, J. T. R. de, Sia, E. de F., &amp; Reis, I. M. S. (2018). RESPOSTA DO FEIJÃO-CAUPI À INOCULAÇÃO DE Bradyrhizobium japonicum, ADUBAÇÃO NITROGENADA E NITROGÊNIO DO SOLO. Revista Agroecossistemas, 10(2), 298. https://doi.org/10.18542/ragros.v10i2.5167</w:t>
        <w:br/>
        <w:t>Steiner, F., Ferreira, H. C. P., &amp; Zuffo, A. M. (2019). Can co-inoculation of Rhizobium tropici and Azospirillum brasilense increase common bean nodulation and grain yield? Semina Ciências Agrárias, 40(1), 81. https://doi.org/10.5433/1679-0359.2019v40n1p81</w:t>
        <w:br/>
        <w:t>Tchichellé, S. V. (2016). Biomass production and nitrogen fluxes quantification at the mixed-species plantation of Eucalyptus urophylla x grandis and Acacia mangium in Congo. HAL (Le Centre Pour La Communication Scientifique Directe).</w:t>
        <w:br/>
        <w:t>Venâncio, W. S., Dallago, E. G., Slusarz, G. M., Boratto, I. V., Boratto, V. N. M., Leite, A. C., Cuenca, R., &amp; Ratuchne, A. (2024). Impact of pre-inoculation of soybean seeds with Bradyrhizobium spp. applied 60 days before sowing. Australian Journal of Crop Science, 116. https://doi.org/10.21475/ajcs.24.18.02.pne4106</w:t>
        <w:br/>
        <w:t>Winding, A., Bach, E. M., &amp; Mele, P. M. (2020). State of knowledge of soil biodiversity - Status, challenges and potentialities. In FAO eBooks. https://doi.org/10.4060/cb1928en</w:t>
        <w:br/>
        <w:t>Wongdee, J., Yuttavanichakul, W., LONGTHONGLANG, A., Teamtisong, K., Boonkerd, N., Teaumroong, N., &amp; Tittabutr, P. (2021). Enhancing the Efficiency of Soybean Inoculant for Nodulation under Multi-Environmental Stress Conditions. Polish Journal of Microbiology, 70(2), 257. https://doi.org/10.33073/pjm-2021-024</w:t>
        <w:br/>
        <w:t>Yadav, R., Dash, D., &amp; Chowdhury, T. E. (2020). Evaluation of promising soybean rhizobia for conferring drought tolerance in soybean under pot. International Journal of Chemical Studies, 8(4), 3505. https://doi.org/10.22271/chemi.2020.v8.i4ar.10194</w:t>
        <w:br/>
        <w:t>Zuffo, A. M., Steiner, F., Busch, A., &amp; Santos, D. M. da S. (2019). ADUBAÇÃO NITROGENADA NA SOJA INIBE A NODULAÇÃO E NÃO MELHORA O CRESCIMENTO INICIAL DAS PLANTAS. Revista Em Agronegócio e Meio Ambiente, 12(2), 333. https://doi.org/10.17765/2176-9168.2019v12n2p333-349</w:t>
      </w:r>
    </w:p>
    <w:p>
      <w:r>
        <w:t>## Introduction</w:t>
        <w:br/>
        <w:t>Les champignons entomopathogènes, tels que Beauveria bassiana et Metarhizium anisopliae, sont traditionnellement reconnus pour leur capacité à parasiter et à éliminer une large gamme d'insectes ravageurs (Vivekanandhan et al., 2024) Cependant, les recherches récentes marquent un changement de paradigme : ces micro-organismes ne sont plus perçus uniquement comme des "tueurs d'insectes", mais comme des acteurs écologiques polyvalents occupant des fonctions trophiques multiples dans l'écosystème du sol (Liu et al., 2025)</w:t>
      </w:r>
    </w:p>
    <w:p>
      <w:r>
        <w:t>#### Le sol : un réservoir et un sanctuaire</w:t>
        <w:br/>
        <w:t>Le sol constitue le principal réservoir naturel des CEP, leur offrant un environnement protecteur contre les radiations UV et les fluctuations climatiques extrêmes (Vega et al., 2009) Dans cet habitat, ils persistent sous forme de propagules (conidies) (Lacey et al., 2015) et interagissent activement avec la rhizosphère (Mwamburi, 2021) La diversité des CEP telluriques est telle que de nouvelles espèces continuent d'être découvertes, soulignant l'importance du sol comme moteur de leur biodiversité(Liu et al., 2025)</w:t>
      </w:r>
    </w:p>
    <w:p>
      <w:r>
        <w:t>#### Une "double identité" fonctionnelle</w:t>
        <w:br/>
        <w:t>L'une des découvertes majeures de ces dernières années réside dans la capacité des CEP à établir des relations symbiotiques avec les plantes. En tant qu'endophytes, ils colonisent les tissus internes (racines, tiges, feuilles) sans causer de dommages, offrant ainsi une protection systémique contre les bioagresseurs (Sharma &amp; Sharma, 2021) Au-delà de la protection, ils agissent comme des biostimulants, favorisant la croissance végétale par une meilleure acquisition des nutriments et la production de phytohormones (Ahsan et al., 2024)</w:t>
        <w:br/>
        <w:t>Dans le contexte actuel de transition agroécologique, les CEP représentent une alternative durable aux pesticides chimiques (Yadav et al., 2025) Leur intégration dans les systèmes de culture permet non seulement de réguler les populations de ravageurs, mais aussi d'améliorer la santé globale du sol en favorisant la diversité microbienne (Vivekanandhan et al., 2024) Malgré des défis liés à leur sensibilité environnementale (température, humidité), les avancées en biotechnologie, notamment les formulations innovantes comme la microencapsulation, ouvrent la voie à une utilisation plus fiable et efficace en plein champ (Yadav et al., 2025)</w:t>
      </w:r>
    </w:p>
    <w:p>
      <w:r>
        <w:t>## 1. Taxonomie et écologie dans le sol</w:t>
        <w:br/>
        <w:t>Le sol n'est pas seulement un support physique pour les CEP, c'est un écosystème complexe où leur survie et leur efficacité dépendent d'une taxonomie précise et d'interactions environnementales fines.</w:t>
      </w:r>
    </w:p>
    <w:p>
      <w:r>
        <w:t>#### 1.1. Diversité taxonomique et "diversité cachée"</w:t>
        <w:br/>
        <w:t>La classification des CEP a radicalement évolué grâce aux outils de biologie moléculaire. Appartenant majoritairement à l'ordre des Hypocreales, les genres les plus étudiés sont Beauveria (famille des Cordycipitaceae) et Metarhizium (famille des Clavicipitaceae)(Branine et al., 2019)</w:t>
        <w:br/>
        <w:t>L'évolution des méthodes d'identification : Alors que l'identification reposait autrefois sur la morphologie ou le seul gène ITS, les recherches de 2023-2024 privilégient désormais la phylogénie multilocus (utilisant des gènes comme tef1a, rpb1, rpb2 et bloc) (Kutalmış et al., 2023; Rizal et al., 2023)</w:t>
        <w:br/>
        <w:t>Découverte d'espèces cryptiques : L'utilisation du séquençage du génome complet et de l'analyse des SNP a révélé une "diversité cachée" au sein des complexes d'espèces comme Beauveria bassiana et Metarhizium anisopliae (Rizal et al., 2023) Ces analyses permettent de distinguer des souches morphologiquement identiques mais génétiquement distinctes, souvent adaptées à des niches écologiques spécifiques (Rizal et al., 2023)</w:t>
        <w:br/>
        <w:t>Expansion constante : De nouvelles espèces continuent d'être isolées directement du sol, comme c'est le cas pour trois nouvelles espèces découvertes récemment en Chine, enrichissant le catalogue des agents potentiels de biocontrôle (Liu et al., 2025)</w:t>
      </w:r>
    </w:p>
    <w:p>
      <w:r>
        <w:t>#### 1.2. Écologie et persistance tellurique</w:t>
        <w:br/>
        <w:t>Le sol agit comme une "banque de propagules" où les conidies (spores) peuvent persister pendant de longues périodes, à l'abri des rayons UV qui sont leur principal facteur de dégradation en surface(Quesada‐Moraga et al., 2023; Sharma &amp; Sharma, 2021)</w:t>
        <w:br/>
        <w:t>Facteurs abiotiques clés :</w:t>
        <w:br/>
        <w:t>Texture et humidité : La persistance est généralement plus élevée dans les sols riches en argile et en matière organique, qui retiennent mieux l'humidité nécessaire à la survie des spores(HALLOUTI et al., 2020; Hallouti et al., 2020)</w:t>
        <w:br/>
        <w:t>Température et pH : Chaque espèce possède un optimum thermique (souvent entre 20°C et 30°C)(Agbessenou et al., 2021; Qayyum et al., 2021) Le pH du sol influence également la germination : des pH extrêmes peuvent inhiber la croissance mycélienne(Hallouti et al., 2020; Wei et al., 2024)</w:t>
        <w:br/>
        <w:t>Distribution spatiale : Contrairement aux idées reçues, les CEP ne sont pas limités aux milieux forestiers ou agricoles. On les trouve dans une grande variété d'habitats, incluant les prairies, les vergers, les zones urbaines et même les parcs suburbains(Gielen et al., 2024) Cette ubiquité souligne leur rôle écologique majeur dans la régulation naturelle des populations d'insectes à l'échelle globale (Wint et al., 2024)</w:t>
        <w:br/>
        <w:t>Stratégies de survie : En l'absence d'hôtes insectes, les CEP peuvent survivre en utilisant la matière organique du sol ou en s'associant aux racines des plantes(Mwamburi, 2021; Sharma &amp; Sharma, 2021) une transition vers leur "double identité" de symbiotes.</w:t>
      </w:r>
    </w:p>
    <w:p>
      <w:r>
        <w:t>## 2. Double identité entomopathogène et endophyte</w:t>
        <w:br/>
        <w:t>La recherche contemporaine a démontré que les CEP possèdent une "double vie" : ils alternent entre une phase pathogène pour les insectes et une phase symbiotique à l'intérieur des tissus végétaux(Branine et al., 2019) Cette capacité à vivre en tant qu'endophytes redéfinit leur rôle écologique et leur potentiel en tant qu'agents de protection biologique intégrée.</w:t>
      </w:r>
    </w:p>
    <w:p>
      <w:r>
        <w:t>#### 2.1. Le concept d'endophytisme chez les CEP</w:t>
        <w:br/>
        <w:t>L'endophytisme se définit par la colonisation des tissus internes d'une plante par un micro-organisme sans provoquer de symptômes de maladie(Hendra et al., 2026)</w:t>
        <w:br/>
        <w:t>Espèces polyvalentes : Beauveria bassiana et Metarhizium anisopliae sont les exemples les plus documentés(Bamisile et al., 2021) Elles sont capables de coloniser une vaste gamme de cultures, incluant le maïs, le blé et le café(Saif et al., 2024) et al., 2022)</w:t>
        <w:br/>
        <w:t>Colonisation systémique : Une fois entrés, Beauveria bassiana peut se déplacer de manière systémique à travers les tissus vasculaires, protégeant ainsi des parties de la plante éloignées du point d'inoculation initial, tandis que Metarhizium anisopliae est souvent localisé aux sites d'inoculation (Gebramariam et al., 2022)</w:t>
      </w:r>
    </w:p>
    <w:p>
      <w:r>
        <w:t>#### 2.2. Mécanismes de pénétration et d'établissement</w:t>
        <w:br/>
        <w:t>Les CEP utilisent des stratégies sophistiquées pour pénétrer la barrière végétale(Bernonville, 2009) souvent similaires à celles utilisées pour infecter la cuticule des insectes(Touré, 2018)</w:t>
        <w:br/>
        <w:t>Voies d'entrée : La colonisation peut se faire par les racines (via le sol), les feuilles (pulvérisation), ou même par le traitement des semences(Francis et al., 2022) Le traitement des semences est de plus en plus privilégié car il assure une présence fongique dès les premiers stades de développement de la plantule(Ayesha et al., 2021)</w:t>
        <w:br/>
        <w:t>Adaptation moléculaire : Le champignon déploie des enzymes (protéases, chitinases) et des métabolites secondaires pour franchir les parois cellulaires végétales tout en modulant les réponses immunitaires de la plante pour éviter d'être rejeté(Jashni et al., 2015)</w:t>
      </w:r>
    </w:p>
    <w:p>
      <w:r>
        <w:t>#### 2.3. Une stratégie de survie évolutive</w:t>
        <w:br/>
        <w:t>L’endophytisme implique un avantage nutritionnel, considéré comme une base adaptative centrale pour ce mode de vie(Lannou et al., 2012) :</w:t>
        <w:br/>
        <w:t>Protection contre l'environnement : À l'intérieur de la plante, les CEP sont totalement protégés des rayons UV nocifs et de la dessiccation, ce qui augmente considérablement leur persistance par rapport aux spores restant à la surface du sol ou des feuilles(Jamunarani et al., 2022)</w:t>
        <w:br/>
        <w:t>Accès aux nutriments : En période de rareté d'hôtes insectes, le champignon bénéficie des hydrates de carbone fournis par la plante, assurant ainsi la pérennité de son inoculum dans l'écosystème(Bamisile et al., 2021)</w:t>
        <w:br/>
        <w:t>Le "garde du corps" interne : En retour, le champignon offre une protection continue contre les ravageurs. Par exemple, des études récentes sur la tomate ont montré que la colonisation endophytique par B. bassiana réduit significativement les populations de chenilles comme Spodoptera frugiperda(Mwamburi, 2021)</w:t>
      </w:r>
    </w:p>
    <w:p>
      <w:r>
        <w:t>## 3. Effets sur la plante hôte</w:t>
        <w:br/>
        <w:t>L'interaction entre les champignons entomopathogènes et la plante hôte dépasse la simple protection contre les insectes. Elle induit des changements physiologiques et biochimiques profonds qui améliorent la vigueur globale de la culture (Ahsan et al., 2024)</w:t>
      </w:r>
    </w:p>
    <w:p>
      <w:r>
        <w:t>#### 3.1. Promotion de la croissance</w:t>
        <w:br/>
        <w:t>L'inoculation de CEP, que ce soit par traitement des semences ou irrigation du sol, entraîne souvent une augmentation mesurable de la biomasse végétale (Liu et al., 2022)</w:t>
        <w:br/>
        <w:t>Indicateurs de croissance : Des études sur le maïs et la tomate ont montré une augmentation significative de la hauteur des tiges ainsi que du poids frais et sec des tissus (Liu et al., 2022; Sani et al., 2023) Pour le maïs, une augmentation de la longueur des racines a également été démontrée(Liu et al., 2022)</w:t>
        <w:br/>
        <w:t>Amélioration racinaire : Des genres comme Metarhizium stimulent particulièrement le développement des racines latérales et des poils absorbants, augmentant ainsi la surface d'échange avec le sol(Oba et al., 2024)</w:t>
      </w:r>
    </w:p>
    <w:p>
      <w:r>
        <w:t>#### 3.2. Acquisition et transfert des nutriments</w:t>
        <w:br/>
        <w:t>Les CEP agissent comme des "ponts" nutritionnels entre le sol et la plante, facilitant l'accès à des ressources autrement peu disponibles(Fite et al., 2023)</w:t>
        <w:br/>
        <w:t>Le cycle de l'azote : Metarhizium est capable de transférer l'azote provenant de la décomposition des insectes directement à la plante hôte, un avantage évolutif majeur en sols pauvres (Bamisile et al., 2021; Samal et al., 2023)</w:t>
        <w:br/>
        <w:t>Solubilisation du phosphore et du fer : De nombreuses souches de B. bassiana produisent des acides organiques et des sidérophores. Ces composés transforment le phosphore insoluble et le fer en formes assimilables par les racines(Bamisile et al., 2021; Sánchez‐Rodríguez et al., 2017)</w:t>
      </w:r>
    </w:p>
    <w:p>
      <w:r>
        <w:t>#### 3.3. Modulation hormonale et signalisation</w:t>
        <w:br/>
        <w:t>L'effet biostimulant des CEP est étroitement lié à leur capacité à synthétiser ou à moduler les hormones de croissance végétales(Bamisile et al., 2021)</w:t>
        <w:br/>
        <w:t>Production de phytohormones : Les CEP produisent des auxines (notamment l'acide indole-3-acétique ou AIA), des cytokinines et des gibberellines(Bamisile et al., 2021) hormones régulent la division cellulaire, la différenciation des tissus et la germination des semences (Bamisile et al., 2021)</w:t>
        <w:br/>
        <w:t>Réponse immunitaire induite : Lors de la colonisation précoce (notamment chez le blé), les CEP provoquent une modulation des gènes liés à l'immunité, déclenchant une résistance systémique induite (González‐Guzmán et al., 2022) Cette "préparation" permet à la plante de réagir plus rapidement et plus vigoureusement aux attaques futures de pathogènes ou de ravageurs(Kumar, 2024)</w:t>
      </w:r>
    </w:p>
    <w:p>
      <w:r>
        <w:t>#### 3.4. Résistance aux stress abiotiques</w:t>
        <w:br/>
        <w:t>Au-delà de la croissance, l'endophytisme renforce la résilience de la plante face aux aléas climatiques(Fite et al., 2023) plantes colonisées par des CEP montrent une meilleure tolérance au stress hydrique (sécheresse), à la salinité et aux températures extrêmes, grâce à une meilleure gestion de l'eau et une protection antioxydante accrue(Dargiri et al., 2024)</w:t>
      </w:r>
    </w:p>
    <w:p>
      <w:r>
        <w:t>## 4. Interactions dans le microbiome du sol</w:t>
        <w:br/>
        <w:t>Le sol est un théâtre d'interactions complexes où les CEP ne se contentent pas de survivre, mais façonnent activement la structure des communautés microbiennes environnantes(Matveev et al., 2025)</w:t>
      </w:r>
    </w:p>
    <w:p>
      <w:r>
        <w:t>#### 4.1. Compétition et survie dans la rhizosphère</w:t>
        <w:br/>
        <w:t>La rhizosphère est la zone de forte activité biologique entourant les racines, où les CEP doivent s'établir face à une concurrence féroce(Amira, 2018; Quesada‐Moraga et al., 2022)</w:t>
        <w:br/>
        <w:t>Compétition pour les ressources : Les CEP rivalisent avec d'autres champignons et bactéries telluriques pour l'accès au carbone et à l'espace. Leur capacité à persister sous forme de conidies ou à coloniser les racines leur donne un avantage stratégique en période de stress nutritionnel(Dzięgielewska &amp; Adamska, 2020)</w:t>
        <w:br/>
        <w:t>Diversité et résilience : Contrairement aux pesticides chimiques qui appauvrissent la vie du sol en réduisant la diversité microbienne, l'application de CEP comme Beauveria ou Metarhizium est plus respectueuse de l'écosystème, favorisant l'augmentation d'organismes bénéfiques et le maintien d'un sol sain(Barelli et al., 2020; Devi et al., 2018)</w:t>
      </w:r>
    </w:p>
    <w:p>
      <w:r>
        <w:t>#### 4.2. Synergies avec les micro-organismes bénéfiques</w:t>
        <w:br/>
        <w:t>Les recherches récentes mettent en lumière des collaborations fructueuses entre les CEP et d'autres alliés de la plante(Liu et al., 2023; Wakil et al., 2020)</w:t>
        <w:br/>
        <w:t>Interaction avec les Mycorhizes : Il existe des preuves de compatibilité entre les CEP et les champignons mycorhiziens à arbuscules. Ensemble, ils peuvent offrir une protection "double couche" : les CMA sont connues pour améliorer l'absorption hydrique et minérale(Guissou et al., 2016) et les CEP protègent contre les ravageurs souterrains et aériens(Samal et al., 2023)</w:t>
        <w:br/>
        <w:t>Coopération avec les PGPR : Les bactéries promotrices de croissance, comme les genres Pseudomonas ou Bacillus, peuvent agir en synergie avec les CEP. Ces bactéries peuvent stimuler la germination des spores fongiques, ou produire des substances comme des antibiotiques ou des siderophores qui éliminent les compétiteurs des CEP, facilitant ainsi leur établissement(Bamisile et al., 2021)</w:t>
      </w:r>
    </w:p>
    <w:p>
      <w:r>
        <w:t>#### 4.3. Antagonisme contre les pathogènes du sol</w:t>
        <w:br/>
        <w:t>Les CEP jouent un rôle de "nettoyeurs" en limitant le développement de certains agents pathogènes phytophages (champignons et bactéries causant des maladies aux plantes)(Sharma &amp; Sharma, 2021)</w:t>
        <w:br/>
        <w:t>Effet fongistatique : Grâce à la production de métabolites secondaires (comme la beauvéricine ou les destruxines), les CEP peuvent inhiber la croissance de pathogènes racinaires responsables de la fonte des semis ou des pourritures racinaires(Bamisile et al., 2021; Soesanto et al., 2021)</w:t>
        <w:br/>
        <w:t>Occupation de niche : En colonisant précocement la zone racinaire, les CEP empêchent physiquement les pathogènes de se fixer, réduisant ainsi l'incidence des maladies telluriques sans recours à des fongicides de synthèse(Miranda‐Fuentes et al., 2020; Rivas-Franco et al., 2020)</w:t>
      </w:r>
    </w:p>
    <w:p>
      <w:r>
        <w:t>#### 4.4. Impact de la gestion agricole sur le microbiome</w:t>
        <w:br/>
        <w:t>L'équilibre des CEP dans le microbiome est sensible aux pratiques culturales(Rochefort, 2020) :</w:t>
        <w:br/>
        <w:t>Apports organiques : L'ajout de matière organique stimule la biodiversité du sol, ce qui favorise indirectement les CEP en créant un environnement propice à leur cycle de vie saprophytique (non pathogène)(Elkhateeb et al., 2021; Quesada‐Moraga et al., 2023)</w:t>
        <w:br/>
        <w:t>Travail du sol : Un labour intensif peut perturber les réseaux mycéliens et la distribution des spores, soulignant l'importance des techniques de conservation du sol pour maintenir des populations indigènes de CEP efficaces(Martin, 2025; Samson, 2021)</w:t>
      </w:r>
    </w:p>
    <w:p>
      <w:r>
        <w:t>## 5. CEP et méthodes de biostimulation indigène</w:t>
        <w:br/>
        <w:t>Favoriser les populations indigènes de champignons entomopathogènes est une stratégie durable qui capitalise sur l'adaptation naturelle des souches locales au climat et au type de sol spécifique(Quesada‐Moraga et al., 2023)</w:t>
      </w:r>
    </w:p>
    <w:p>
      <w:r>
        <w:t>#### 5.1. Avantages des souches indigènes</w:t>
        <w:br/>
        <w:t>Les souches locales présentent souvent une meilleure persistance que les produits commerciaux introduits, car elles ont co-évolué avec les ravageurs locaux et les conditions abiotiques du terroir(Quesada‐Moraga et al., 2023) L'utilisation de ces ressources indigènes réduit également les risques de perturbations écologiques liées à l'introduction de micro-organismes non natifs(Stahl et al., 2018)</w:t>
      </w:r>
    </w:p>
    <w:p>
      <w:r>
        <w:t>#### 5.2. Gestion des amendements et fertilisation</w:t>
        <w:br/>
        <w:t>La composition chimique du sol influence directement la vitalité des CEP(Hallouti et al., 2020)</w:t>
        <w:br/>
        <w:t>Synergie avec la fertilisation : Des recherches récentes sur la canne à sucre ont démontré que la combinaison d'une fertilisation minérale et d'une inoculation avec Metarhizium anisopliae booste significativement la croissance initiale de la plante, montrant que les intrants classiques peuvent être compatibles avec une gestion biologique s'ils sont bien dosés (Oba et al., 2024)</w:t>
        <w:br/>
        <w:t>Matière organique : L'apport de compost et de fumier enrichit le réservoir de carbone du sol (Lazcano et al., 2022) ce qui soutient la phase saprophytique des CEP (leur survie hors hôte insecte) et favorise leur multiplication naturelle(HALLOUTI et al., 2020)</w:t>
      </w:r>
    </w:p>
    <w:p>
      <w:r>
        <w:t>#### 5.3. Pratiques culturales favorables</w:t>
        <w:br/>
        <w:t>La conservation des CEP nécessite de minimiser les perturbations physiques et chimiques du sol(Taddei &amp; Fallot, 2023)</w:t>
        <w:br/>
        <w:t>Réduction du travail du sol : Le labour intensif fragmente le réseau mycélien et expose les conidies (spores) aux rayons UV létaux en surface. Les techniques de semis direct ou de travail simplifié du sol aident à maintenir la "banque de spores" dans les horizons protecteurs(Clifton et al., 2015; Nivelle, 2017)</w:t>
        <w:br/>
        <w:t>Cultures de couverture et diversité : Maintenir une couverture végétale permanente (plantes de couverture, intercultures) fournit des niches écologiques et des exsudats racinaires qui attirent et nourrissent les CEP, tout en offrant des hôtes alternatifs pour maintenir leur cycle de reproduction(Vega et al., 2009; Vukicevich et al., 2016)</w:t>
      </w:r>
    </w:p>
    <w:p>
      <w:r>
        <w:t>#### 5.4. Réduction de la pression chimique</w:t>
        <w:br/>
        <w:t>L'un des leviers majeurs de biostimulation est la réduction des fongicides de synthèse(Malausa et al., 2018)</w:t>
        <w:br/>
        <w:t>Compatibilité : De nombreux fongicides chimiques ont des effets non intentionnels dévastateurs sur les populations indigènes de Beauveria et Metarhizium (Yadav et al., 2025)</w:t>
        <w:br/>
        <w:t>Transition agroécologique : En remplaçant progressivement les pesticides à large spectre par des solutions ciblées ou des CEP, on permet aux populations naturelles de se reconstituer, créant ainsi un effet de "fond" protecteur permanent contre les ravageurs telluriques(Elouattassi et al., 2023; Rogge et al., 2017)</w:t>
      </w:r>
    </w:p>
    <w:p>
      <w:r>
        <w:t>#### 5.5. Méthodes d'activation</w:t>
        <w:br/>
        <w:t>Des techniques émergentes suggèrent que les conditions environnementales pendant la culture, telles que la composition nutritive ou les traitements de stress, peuvent influencer les caractéristiques des spores dormantes, y compris leur vitesse et leur efficacité de germination(Emri et al., 2022)</w:t>
      </w:r>
    </w:p>
    <w:p>
      <w:r>
        <w:t>## 6. Implications pratiques</w:t>
        <w:br/>
        <w:t>La transition de la recherche en laboratoire vers l'application au champ nécessite une compréhension des contraintes environnementales et l'adoption de techniques de formulation innovantes pour garantir l'efficacité des CEP(Lacey et al., 2015)</w:t>
      </w:r>
    </w:p>
    <w:p>
      <w:r>
        <w:t>#### 6.1. Modes d'application et de livraison</w:t>
        <w:br/>
        <w:t>Le choix de la méthode d'application dépend de la cible (ravageur souterrain ou aérien) et du stade de la culture(Rilaković et al., 2025)</w:t>
        <w:br/>
        <w:t>Traitement des semences : C'est l'une des méthodes les plus prometteuses. Elle assure une colonisation endophytique précoce et protège la plantule dès la germination(Muvea et al., 2014; Shaalan et al., 2023)</w:t>
        <w:br/>
        <w:t>Trempage des racines : Très efficace pour les cultures repiquées (comme la tomate), cette méthode favorise l'établissement immédiat du champignon dans la rhizosphère(Fenibo &amp; Matambo, 2025)</w:t>
        <w:br/>
        <w:t>Application au sol : L'épandage de granulés ou l'irrigation avec des suspensions de conidies permet de traiter de grandes surfaces pour réguler les larves de sol (comme les vers blancs)(Chandel et al., 2018; Lacey et al., 2015)</w:t>
      </w:r>
    </w:p>
    <w:p>
      <w:r>
        <w:t>#### 6.2. Innovations dans la formulation</w:t>
        <w:br/>
        <w:t>La sensibilité des spores aux rayons UV et à la dessiccation reste un défi majeur. Les nouvelles formulations visent à pallier ces faiblesses(Quesada‐Moraga et al., 2023; Rodrigues et al., 2016)</w:t>
        <w:br/>
        <w:t>Microencapsulation : Cette technologie enveloppe les conidies dans des polymères protecteurs, prolongeant leur viabilité au champ et permettant une libération contrôlée(Celestino &amp; Oliveira, 2022; Felizatti et al., 2021)</w:t>
        <w:br/>
        <w:t>Formulations huileuses : Les suspensions à base d'huile améliorent l'adhérence des spores sur la cuticule des insectes et les protègent partiellement contre le dessèchement(Grijalba et al., 2018)</w:t>
      </w:r>
    </w:p>
    <w:p>
      <w:r>
        <w:t>#### 6.3. Défis environnementaux et limites</w:t>
        <w:br/>
        <w:t>L'efficacité des CEP n'est pas constante et dépend de plusieurs variables(Abalo et al., 2023)</w:t>
        <w:br/>
        <w:t>Fenêtres climatiques : Les applications doivent idéalement se faire par temps couvert ou en fin de journée pour éviter la dégradation par les UV(Bayramoğlu, 2023) Une humidité relative élevée (supérieure à 96% ou 97%) est nécessaire pour la germination des spores et le développement mycélien de la plupart des champignons entomopathogènes(Qayyum et al., 2021)</w:t>
        <w:br/>
        <w:t>Délai d'action : Contrairement aux produits chimiques à effet de choc, les CEP nécessitent plusieurs jours (3 à 7 jours) pour tuer leur hôte(Elkhateeb et al., 2021) ce qui peut rendre leur adoption difficile dans les situations où une mortalité rapide est requise(Blanford et al., 2011)</w:t>
      </w:r>
    </w:p>
    <w:p>
      <w:r>
        <w:t>#### 6.4. Recommandations pour une gestion intégrée</w:t>
        <w:br/>
        <w:t>Pour maximiser l'impact des CEP, ils doivent être intégrés dans un système global(Vivekanandhan et al., 2024)</w:t>
        <w:br/>
        <w:t>Compatibilité chimique : Éviter l'application simultanée de fongicides à large spectre qui inhibent la croissance des CEP(Rakes et al., 2025)</w:t>
        <w:br/>
        <w:t>Synergie avec la fertilisation : Utiliser les CEP en complément d'amendements organiques pour booster la vigueur initiale de la culture(Singh et al., 2021)</w:t>
        <w:br/>
        <w:t>Surveillance : Utiliser des outils de monitoring des dynamiques des champignons pour identifier les agents les mieux adaptés au contrôle des ravageurs (Wallis &amp; Sisterson, 2024)</w:t>
      </w:r>
    </w:p>
    <w:p>
      <w:r>
        <w:t>#### 6.5. Perspectives d'avenir</w:t>
        <w:br/>
        <w:t>Le futur des CEP réside dans la sélection de souches multifonctionnelles (à la fois insecticides, endophytes et biostimulantes) et dans le développement de bio-insecticides plus stables et faciles à stocker (Bamisile et al., 2021; Couceiro et al., 2025) de bases de données globales sur les interactions hôtes-champignons permettra bientôt de choisir la souche la plus adaptée à chaque type de culture et de ravageur (Wint et al., 2024)</w:t>
      </w:r>
    </w:p>
    <w:p>
      <w:r>
        <w:t>## Enrichissements :</w:t>
      </w:r>
    </w:p>
    <w:p>
      <w:r>
        <w:t>### 1. Mécanismes de transfert de nutriments (Section 3.2)</w:t>
        <w:br/>
        <w:t>La recherche a franchi une étape clé en prouvant le transfert direct d'azote entre l'insecte et la plante via le mycélium fongique(Behie &amp; Bidochka, 2013)</w:t>
        <w:br/>
        <w:t>Transfert d'azote () : Des études utilisant l'isotope ont démontré que Metarhizium robertsii et Beauveria bassiana agissent comme des conduits, transférant l'azote issu des insectes parasités vers les tissus de plantes comme le soja, le blé ou le haricot (Behie &amp; Bidochka, 2013) Ce transfert est bidirectionnel : la plante fournit des sucres (photosynthétats) au champignon en échange de cet azote organique (Bamisile et al., 2021)</w:t>
        <w:br/>
        <w:t>Solubilisation des minéraux : Au-delà de l'azote, les CEP augmentent la biodisponibilité du phosphore, du fer, du potassium et du zinc par minéralisation, facilitant leur absorption par les racines colonisées(Bamisile et al., 2021) et al., 2025)</w:t>
      </w:r>
    </w:p>
    <w:p>
      <w:r>
        <w:t>### 2. Diversité taxonomique et niches écologiques (Section 1.1)</w:t>
        <w:br/>
        <w:t>Pour compléter votre inventaire taxonomique, il est pertinent d'intégrer la diversité des genres au-delà des plus connus.</w:t>
        <w:br/>
        <w:t>Diversité des genres : Outre Beauveria et Metarhizium, le sol abrite des genres importants comme Isaria, Cordyceps, Nomuraea, ainsi que Entomophthora et Akanthomyces (anciennement Lecanicillium) (Fite et al., 2023; Vivekanandhan et al., 2024)</w:t>
        <w:br/>
        <w:t>Niches spécifiques : Des études récentes indiquent que certaines espèces de Metarhizium colonisent également les écosystèmes aquatiques et humides, ce qui élargit leur potentiel d'application au-delà des sols purement agricoles (Tang et al., 2025)</w:t>
      </w:r>
    </w:p>
    <w:p>
      <w:r>
        <w:t>### 3. Antagonisme et immunité végétale (Section 4.3)</w:t>
        <w:br/>
        <w:t>L'interaction avec les pathogènes du sol ne se limite pas à la compétition spatiale(Pommier, 2019)</w:t>
        <w:br/>
        <w:t>Modes d'action multiples : Les CEP luttent contre les maladies via l'antibiose (production de métabolites secondaires), le parasitisme direct des pathogènes et, surtout, l'induction d'une résistance systémique chez l'hôte végétal (Yadav et al., 2025)</w:t>
        <w:br/>
        <w:t>Innocuité : Un point fort à souligner est leur faible impact sur les organismes non-cibles, ce qui préserve la biodiversité fonctionnelle du sol par rapport aux traitements chimiques (Vivekanandhan et al., 2024)</w:t>
      </w:r>
    </w:p>
    <w:p>
      <w:r>
        <w:t>### 4. Innovations dans la formulation et l'application (Section 6.2)</w:t>
        <w:br/>
        <w:t>Les défis de survie des spores dans le sol peuvent être levés par de nouvelles méthodes de livraison(Johnson et al., 2001)</w:t>
        <w:br/>
        <w:t>Microencapsulation et Nano-vecteurs : L'usage de nano-porteurs améliore la précision de la livraison et la viabilité des spores face aux stress environnementaux (Yadav et al., 2025) Des formulations utilisant des microparticules sensibles au pH ont été développées pour permettre une libération ciblée (par exemple, dans l'intestin moyen des larves où le pH est basique) (Martínez et al., 2023)</w:t>
        <w:br/>
        <w:t>Émulsions de Pickering : L'encapsulation de conidies dans des émulsions huile-dans-eau stabilisées par des nanoparticules de silice permet une meilleure adhésion et une protection accrue des propagules fongiques (Martínez et al., 2023)</w:t>
        <w:br/>
        <w:t>Stratégies d'endophytisme : Pour favoriser l'établissement durable du champignon dans la plante, des formulations spécifiques pour le traitement des semences ou sous forme de granulés de semis sont recommandées afin de maintenir les spores à proximité immédiate des tissus racinaires (Krell et al., 2019)</w:t>
      </w:r>
    </w:p>
    <w:p>
      <w:r>
        <w:t>### 5. Lacunes à combler (Section 6.3)</w:t>
        <w:br/>
        <w:t>Facteurs abiotiques : La persistance et l'efficacité des CEP restent fortement corrélées à l'humidité du sol, à la température et au pH, qui peuvent inhiber la germination des spores s'ils sont hors des plages optimales(Li et al., 2009)</w:t>
        <w:br/>
        <w:t>Transmission : Les modes de transmission au sein des populations d'insectes du sol sont : horizontale (entre individus), verticale (entre générations) ou via des vecteurs passifs (Touré, 2018)</w:t>
        <w:br/>
        <w:t>References</w:t>
        <w:br/>
        <w:t>Abalo, M., Scorsetti, A. C., Vianna, F., Russo, M. L., Abajo, J. D., Pelizza, A., &amp; Keswani, C. (2023). Field evaluation of entomopathogenic fungi formulations against Rachiplusia nu (Lepidoptera: Noctuidae) in soybean crop. Journal of Plant Protection Research. https://doi.org/10.24425/jppr.2022.143232</w:t>
        <w:br/>
        <w:t>Agbessenou, A., Akutse, K. S., Yusuf, A. A., Wekesa, S. W., &amp; Khamis, F. M. (2021). Temperature-dependent modelling and spatial prediction reveal suitable geographical areas for deployment of two Metarhizium anisopliae isolates for Tuta absoluta management. Scientific Reports, 11(1). https://doi.org/10.1038/s41598-021-02718-w</w:t>
        <w:br/>
        <w:t>Ahsan, S. M., Injamum-Ul-Hoque, Md., Das, A. K., Rahman, Md. M., Mollah, Md. M. I., Paul, N. C., &amp; Choi, H. W. (2024). Plant–Entomopathogenic Fungi Interaction: Recent Progress and Future Prospects on Endophytism-Mediated Growth Promotion and Biocontrol. Plants, 13(10), 1420. https://doi.org/10.3390/plants13101420</w:t>
        <w:br/>
        <w:t>Amira, M. B. (2018). Etude de la relation mycoparasitaire Trichoderma harzianum avec Fusarium solani chez l’Olivier ; Caractérisations moléculaires et fonctionnelles des aquaporines chez Trichoderma harzianum. HAL (Le Centre Pour La Communication Scientifique Directe). https://hal.inrae.fr/tel-02789193</w:t>
        <w:br/>
        <w:t>Ayesha, M. S., Suryanarayanan, T. S., Nataraja, K. N., Prasad, S. R., &amp; Shaanker, R. U. (2021). Seed Treatment With Systemic Fungicides: Time for Review [Review of Seed Treatment With Systemic Fungicides: Time for Review]. Frontiers in Plant Science, 12. Frontiers Media. https://doi.org/10.3389/fpls.2021.654512</w:t>
        <w:br/>
        <w:t>Bamisile, B. S., Akutse, K. S., Siddiqui, J. A., &amp; Xu, Y. (2021). Model Application of Entomopathogenic Fungi as Alternatives to Chemical Pesticides: Prospects, Challenges, and Insights for Next-Generation Sustainable Agriculture [Review of Model Application of Entomopathogenic Fungi as Alternatives to Chemical Pesticides: Prospects, Challenges, and Insights for Next-Generation Sustainable Agriculture]. Frontiers in Plant Science, 12. Frontiers Media. https://doi.org/10.3389/fpls.2021.741804</w:t>
        <w:br/>
        <w:t>Barelli, L., Waller, A. S., Behie, S. W., &amp; Bidochka, M. (2020). Plant microbiome analysis after Metarhizium amendment reveals increases in abundance of plant growth-promoting organisms and maintenance of disease-suppressive soil. PLoS ONE, 15(4). https://doi.org/10.1371/journal.pone.0231150</w:t>
        <w:br/>
        <w:t>Bayramoğlu, Z. (2023). The UV protectant properties of tea extracts on entomopathogenic fungus spores and their lethal effect on Galleria mellonella (L., 1758) (Lepidoptera: Pyralidae). Turkish Journal of Entomology, 47(4), 363. https://doi.org/10.16970/entoted.1313010</w:t>
        <w:br/>
        <w:t>Behie, S. W., &amp; Bidochka, M. (2013). Ubiquity of Insect-Derived Nitrogen Transfer to Plants by Endophytic Insect-Pathogenic Fungi: an Additional Branch of the Soil Nitrogen Cycle. Applied and Environmental Microbiology, 80(5), 1553. https://doi.org/10.1128/aem.03338-13</w:t>
        <w:br/>
        <w:t>Bernonville, T. D. de. (2009). Histological, molecular and biochemical caracterisations of the compatible and incompatible interactions between Erwinia amylovora, the causative agent of fire blight, and apple tree ( Malus x domestica ). HAL (Le Centre Pour La Communication Scientifique Directe). https://theses.hal.science/tel-00482385</w:t>
        <w:br/>
        <w:t>Blanford, J. I., Shi, W., Christian, R., Marden, J. H., Koekemoer, L. L., Brooke, B. D., Coetzee, M., Read, A. F., &amp; Thomas, M. B. (2011). Lethal and Pre-Lethal Effects of a Fungal Biopesticide Contribute to Substantial and Rapid Control of Malaria Vectors. PLoS ONE, 6(8). https://doi.org/10.1371/journal.pone.0023591</w:t>
        <w:br/>
        <w:t>Branine, M., Bazzicalupo, A., &amp; Branco, S. (2019). Biology and applications of endophytic insect-pathogenic fungi [Review of Biology and applications of endophytic insect-pathogenic fungi]. PLoS Pathogens, 15(7). Public Library of Science. https://doi.org/10.1371/journal.ppat.1007831</w:t>
        <w:br/>
        <w:t>Celestino, M. F., &amp; Oliveira, J. A. dos S. (2022). Métodos de encapsulamento de fungos entomopatogênicos para sua aplicação no controle biológico. Research Society and Development, 11(16). https://doi.org/10.33448/rsd-v11i16.38031</w:t>
        <w:br/>
        <w:t>Chandel, R. S., Soni, S., Vashisth, S., Pathania, M., Mehta, P. K., Rana, A., Bhatnagar, A., &amp; Agrawal, V. (2018). The potential of entomopathogens in biological control of white grubs. International Journal of Pest Management, 65(4), 348. https://doi.org/10.1080/09670874.2018.1524183</w:t>
        <w:br/>
        <w:t>Clifton, E. H., Jaronski, S. T., Hodgson, E. W., &amp; Gassmann, A. J. (2015). Abundance of Soil-Borne Entomopathogenic Fungi in Organic and Conventional Fields in the Midwestern USA with an Emphasis on the Effect of Herbicides and Fungicides on Fungal Persistence. PLoS ONE, 10(7). https://doi.org/10.1371/journal.pone.0133613</w:t>
        <w:br/>
        <w:t>Couceiro, J. C., Wood, M. J., Papadopoulos, A., Silva, J. J., Vontas, J., &amp; Dimopoulos, G. (2025). Development of Mycoinsecticides: Advances in Formulation, Regulatory Challenges and Market Trends for Entomopathogenic Fungi. Journal of Fungi, 12(1), 7. https://doi.org/10.3390/jof12010007</w:t>
        <w:br/>
        <w:t>Dargiri, S. A., Naeimi, S., &amp; Nekouei, M. K. (2024). Endophytic Microorganisms: Harnessing Biological Control for Biotic and Abiotic Stress Management in Plants. In IntechOpen eBooks. IntechOpen. https://doi.org/10.5772/intechopen.1005390</w:t>
        <w:br/>
        <w:t>Devi, Y. B., Meetei, T. T., &amp; Kumari, N. (2018). Impact of Pesticides on Soil Microbial Diversity and Enzymes: A Review [Review of Impact of Pesticides on Soil Microbial Diversity and Enzymes: A Review]. International Journal of Current Microbiology and Applied Sciences, 7(6), 952. Excellent Publishers. https://doi.org/10.20546/ijcmas.2018.706.113</w:t>
        <w:br/>
        <w:t>Dzięgielewska, M., &amp; Adamska, I. (2020). Survey of entomopathogenic nematodes and fungi in agricultural areas. Plant Protection Science, 56(3), 214. https://doi.org/10.17221/7/2019-pps</w:t>
        <w:br/>
        <w:t>Elkhateeb, W. A., Mousa, M., Elnahas, M. O., &amp; Daba, G. M. (2021). Fungi against insects and contrariwise as biological control models. Egyptian Journal of Biological Pest Control, 31(1). https://doi.org/10.1186/s41938-020-00360-8</w:t>
        <w:br/>
        <w:t>Elouattassi, Y., Ferioun, M., Ghachtouli, N. E., Derraz, K., &amp; Rachidi, F. (2023). Agroecological concepts and alternatives to the problems of contemporary agriculture: Monoculture and chemical fertilization in the context of climate change. Journal of Agriculture and Environment for International Development (JAEID), 117(2), 41. https://doi.org/10.36253/jaeid-14672</w:t>
        <w:br/>
        <w:t>Emri, T., Forgács, K., &amp; Pócsi, I. (2022). Biologia futura: combinatorial stress responses in fungi [Review of Biologia futura: combinatorial stress responses in fungi]. Biologia Futura, 73(2), 207. Springer Science+Business Media. https://doi.org/10.1007/s42977-022-00121-8</w:t>
        <w:br/>
        <w:t>Felizatti, A. P., Manzano, R. M., Rodrigues, I. M. W., Silva, M. F. das G. F. da, Fernandes, J. B., &amp; Forim, M. R. (2021). Encapsulation of B. bassiana in Biopolymers: Improving Microbiology of Insect Pest Control. Frontiers in Microbiology, 12. https://doi.org/10.3389/fmicb.2021.704812</w:t>
        <w:br/>
        <w:t>Fenibo, E. O., &amp; Matambo, T. S. (2025). Biopesticides for sustainable agriculture: feasible options for adopting cost-effective strategies. Frontiers in Sustainable Food Systems, 9. https://doi.org/10.3389/fsufs.2025.1657000</w:t>
        <w:br/>
        <w:t>Fite, T., Kebede, E., Tefera, T., &amp; Bekeko, Z. (2023). Endophytic fungi: versatile partners for pest biocontrol, growth promotion, and climate change resilience in plants. Frontiers in Sustainable Food Systems, 7. https://doi.org/10.3389/fsufs.2023.1322861</w:t>
        <w:br/>
        <w:t>Francis, F., Mabola, J. C. F., &amp; Fekih, I. B. (2022). Direct and Endophytic Effects of Fungal Entomopathogens for Sustainable Aphid Control: A Review [Review of Direct and Endophytic Effects of Fungal Entomopathogens for Sustainable Aphid Control: A Review]. Agriculture, 12(12), 2081. Multidisciplinary Digital Publishing Institute. https://doi.org/10.3390/agriculture12122081</w:t>
        <w:br/>
        <w:t>Gebramariam, A., Mekuriaw, E., &amp; Assefa, F. (2022). Effects of Myco-Entomopathogens on Bio-Control of Trialeurodes Vaporariorum, Endophytic Colonization of Tomato, and Compatibility with selected pesticides. Research Square (Research Square). https://doi.org/10.21203/rs.3.rs-1835624/v1</w:t>
        <w:br/>
        <w:t>Gielen, R., Ude, K., Kaasik, A., Põldmaa, K., Teder, T., &amp; Tammaru, T. (2024). Entomopathogenic Fungi as Mortality Agents in Insect Populations: A Review. Ecology and Evolution, 14(12). https://doi.org/10.1002/ece3.70666</w:t>
        <w:br/>
        <w:t>González‐Guzmán, A., Rey, M.-D., Froussart, E., &amp; Quesada‐Moraga, E. (2022). Elucidating the Effect of Endophytic Entomopathogenic Fungi on Bread Wheat Growth through Signaling of Immune Response-Related Hormones. Applied and Environmental Microbiology, 88(18). https://doi.org/10.1128/aem.00882-22</w:t>
        <w:br/>
        <w:t>Grijalba, É., Espinel, C., Cuartas, P., Chaparro, M., &amp; Villamizar, L. (2018). Metarhizium rileyi biopesticide to control Spodoptera frugiperda: Stability and insecticidal activity under glasshouse conditions. Fungal Biology, 122(11), 1069. https://doi.org/10.1016/j.funbio.2018.08.010</w:t>
        <w:br/>
        <w:t>Guissou, T., Babana, A. H., Sanon, K. B., &amp; Bâ, A. (2016). Effects of arbuscular mycorrhizae on growth and mineral nutrition of greenhouse propagated fruit trees from diverse geographic provenances. BASE, 417. https://doi.org/10.25518/1780-4507.13149</w:t>
        <w:br/>
        <w:t>HALLOUTI, A., Hamza, M. A., Zahidi, A., Hammou, R. A., BOUHARROUD, R., Aoumar, A. A. B., &amp; Boubaker, H. (2020a). Diversity of entomopathogenic fungi associated with Mediterranean fruit fly (C. capitata) in Moroccan Argan forests and nearby area: impact of soil factors on their distribution. Research Square (Research Square). https://doi.org/10.21203/rs.3.rs-29914/v1</w:t>
        <w:br/>
        <w:t>HALLOUTI, A., Hamza, M. A., Zahidi, A., Hammou, R. A., BOUHARROUD, R., Aoumar, A. A. B., &amp; Boubaker, H. (2020b). Diversity of entomopathogenic fungi associated with Mediterranean fruit fly (Ceratitis capitata (Diptera: Tephritidae)) in Moroccan Argan forests and nearby area: impact of soil factors on their distribution. Research Square (Research Square). https://doi.org/10.21203/rs.3.rs-29914/v4</w:t>
        <w:br/>
        <w:t>Hallouti, A., Hamza, M. A., Zahidi, A., Hammou, R. A., Bouharroud, R., Aoumar, A. A. B., &amp; Boubaker, H. (2020). Diversity of entomopathogenic fungi associated with Mediterranean fruit fly (Ceratitis capitata (Diptera: Tephritidae)) in Moroccan Argan forests and nearby area: impact of soil factors on their distribution. BMC Ecology, 20(1). https://doi.org/10.1186/s12898-020-00334-2</w:t>
        <w:br/>
        <w:t>Hendra, Y., Ulpah, S., trizelia, T., Syahrawati, M., &amp; Saragih, M. T. (2026). Triple functional roles of endophytic fungi in pest management: a systematic review. Egyptian Journal of Biological Pest Control, 36(1). https://doi.org/10.1186/s41938-025-00874-z</w:t>
        <w:br/>
        <w:t>Jamunarani, G. S., Ramanagouda, S. H., Venkateshalu, B., Jayappa, J., Gunnaiah, R., Rudresh, D. L., Kulkarni, M. S., Naika, M., &amp; Gopali, J. B. (2022). Isolation and evaluation of indigenous endophytic entomopathogenic fungus, Beauveria bassiana UHSB-END1 (Hypocreales: Cordycipitaceae), against Spodoptera litura Fabricius. Egyptian Journal of Biological Pest Control, 32(1). https://doi.org/10.1186/s41938-022-00617-4</w:t>
        <w:br/>
        <w:t>Jashni, M. K., Mehrabi, R., Collemare, J., Mesarich, C. H., &amp; Wit, P. J. G. M. de. (2015). The battle in the apoplast: further insights into the roles of proteases and their inhibitors in plant–pathogen interactions [Review of The battle in the apoplast: further insights into the roles of proteases and their inhibitors in plant–pathogen interactions]. Frontiers in Plant Science, 6. Frontiers Media. https://doi.org/10.3389/fpls.2015.00584</w:t>
        <w:br/>
        <w:t>Johnson, V., Pearson, J. F., &amp; Jackson, T. A. (2001). Formulations for delivery of microorganisms to soil. Proceedings of the New Zealand Weed Control Conference, 54, 255. https://doi.org/10.30843/nzpp.2001.54.3772</w:t>
        <w:br/>
        <w:t>Krell, V., Jakobs-Schoenwandt, D., &amp; Patel, A. (2019). Application of Formulated Endophytic Entomopathogenic Fungi for Novel Plant Protection Strategies. In Cambridge University Press eBooks (p. 52). Cambridge University Press. https://doi.org/10.1017/9781108607667.004</w:t>
        <w:br/>
        <w:t>Kumar, P. (2024). Induced Systemic Resistance in Plants: Mechanisms and Agricultural Significance. Journal for Research in Applied Sciences and Biotechnology, 3(4), 197. https://doi.org/10.55544/jrasb.3.4.24</w:t>
        <w:br/>
        <w:t>Kutalmış, A., Terzioğlu, Z., Şen, R. H., &amp; Sevim, A. (2023). Phylogenetic analysis and biocontrol potential of entomopathogenic fungi against Tropinota (=Epicometis) hirta (Poda) (Coleoptera: Cetoniidae) and the apple scab disease Ventura inaequalis. Egyptian Journal of Biological Pest Control, 33(1). https://doi.org/10.1186/s41938-023-00652-9</w:t>
        <w:br/>
        <w:t>Lacey, L. A., Grzywacz, D., Shapiro‐Ilan, D. I., Frutos, R., Brownbridge, M., &amp; Goettel, M. S. (2015). Insect pathogens as biological control agents: Back to the future [Review of Insect pathogens as biological control agents: Back to the future]. Journal of Invertebrate Pathology, 132, 1. Elsevier BV. https://doi.org/10.1016/j.jip.2015.07.009</w:t>
        <w:br/>
        <w:t>Lannou, C. C., Papaïx, J., Goyeau, H., &amp; Monod, H. (2012). Gérer les variétés résistantes aux maladies à l’échelle des territoires agricoles. HAL (Le Centre Pour La Communication Scientifique Directe). https://hal.archives-ouvertes.fr/hal-00999951</w:t>
        <w:br/>
        <w:t>Lazcano, C., Decock, C., Wong, C. T. F., &amp; Garcia-Brucher, K. (2022). Assessing the effects of compost on soil health. In Burleigh Dodds series in agricultural science (p. 221). Burleigh Dodds Science Publishing Limited. https://doi.org/10.19103/as.2021.0094.06</w:t>
        <w:br/>
        <w:t>Li, G., Liu, X., Sun, M., Li, S., &amp; Wang, J. (2009). Use of a novel two-stage cultivation method to determine the effects of environmental factors on the growth and sporulation of several biocontrol fungi. Mycoscience, 50(4), 317. https://doi.org/10.47371/mycosci.myc50317</w:t>
        <w:br/>
        <w:t>Liu, M., Wang, H., Lin, Z., Ke, J., Zhang, P., Zhang, F., Ru, D., Zhang, L., Xiao, Y., &amp; Liu, X. (2023). Arbuscular mycorrhizal fungi inhibit necrotrophic, but not biotrophic, aboveground plant pathogens: a meta‐analysis and experimental study. New Phytologist, 241(3), 1308. https://doi.org/10.1111/nph.19392</w:t>
        <w:br/>
        <w:t>Liu, T., Chen, W., Zhang, K., Hu, X., Berestetskiy, A., Hu, Q., &amp; Weng, Q. (2025). Three new entomopathogenic fungal species isolated from soil in China. Frontiers in Microbiology, 16. https://doi.org/10.3389/fmicb.2025.1705425</w:t>
        <w:br/>
        <w:t>Liu, Y., Yang, Y., &amp; Wang, B. (2022). Entomopathogenic fungi Beauveria bassiana and Metarhizium anisopliae play roles of maize (Zea mays) growth promoter. Scientific Reports, 12(1). https://doi.org/10.1038/s41598-022-19899-7</w:t>
        <w:br/>
        <w:t>Malausa, T., Jacquin‐Joly, E., Frérot, B., Marion‐Poll, F., Thiéry, D., Martin, J., Levevre, A., Navajas, M., Tabone, É., Rasplus, J., Ris, N., Ogier, J.-C., Pagès, S., Givaudan, A., Gaudriault, S., Gatti, J., Lavigne, C., Bouvier, J., Mailleret, L., … Brisset, M.-N. (2018). Les conquêtes de l’INRA pour le biocontrôle. HAL (Le Centre Pour La Communication Scientifique Directe). https://hal.archives-ouvertes.fr/hal-01963048</w:t>
        <w:br/>
        <w:t>Martin, F. (2025). Les communautés fongiques des sols forestiers face aux changements climatiques. Comptes Rendus Biologies, 348, 167. https://doi.org/10.5802/crbiol.179</w:t>
        <w:br/>
        <w:t>Martínez, Y., Ribera, J., Schwarze, F. W. M. R., &amp; France, K. J. D. (2023). Biotechnological development of Trichoderma-based formulations for biological control [Review of Biotechnological development of Trichoderma-based formulations for biological control]. Applied Microbiology and Biotechnology, 107(18), 5595. Springer Science+Business Media. https://doi.org/10.1007/s00253-023-12687-x</w:t>
        <w:br/>
        <w:t>Matveev, S., Reingold, V., Doron‐Faigenboim, A., Livne, Y., Davidovitz, M., &amp; Ment, D. (2025). Entomopathogenic fungi as dual-function biocontrol agents: persistence and microbiome modulation in date palm soils. bioRxiv (Cold Spring Harbor Laboratory). https://doi.org/10.1101/2025.11.02.686131</w:t>
        <w:br/>
        <w:t>Miranda‐Fuentes, P., García-Carneros, A. B., Montilla‐Carmona, A. M., &amp; Molinero‐Ruiz, L. (2020). Evidence of soil‐located competition as the cause of the reduction of sunflower verticillium wilt by entomopathogenic fungi. Plant Pathology, 69(8), 1492. https://doi.org/10.1111/ppa.13230</w:t>
        <w:br/>
        <w:t>Muvea, A., Meyhöfer, R., Subramanian, S., Poehling, H., Ekesi, S., &amp; Maniania, N. K. (2014). Colonization of Onions by Endophytic Fungi and Their Impacts on the Biology of Thrips tabaci. PLoS ONE, 9(9). https://doi.org/10.1371/journal.pone.0108242</w:t>
        <w:br/>
        <w:t>Mwamburi, L. A. (2021). Endophytic fungi, Beauveria bassiana and Metarhizium anisopliae, confer control of the fall armyworm, Spodoptera frugiperda (J. E. Smith) (Lepidoptera: Noctuidae), in two tomato varieties. Egyptian Journal of Biological Pest Control, 31(1). https://doi.org/10.1186/s41938-020-00357-3</w:t>
        <w:br/>
        <w:t>Nivelle, É. (2017). Assessing the effects of nitrogen and herbicides on soil quality indicators in contrasted agrosystems. HAL (Le Centre Pour La Communication Scientifique Directe). https://theses.hal.science/tel-03650491</w:t>
        <w:br/>
        <w:t>Oba, L. X. de S., Mattos, L. M., Paiva, G. F., Carrasco, N. F., Santos, E. F., &amp; Mota, L. H. C. (2024). PLANTING FERTILIZATION AND Metarhizium anisopliae INOCULATION IN THE INITIAL GROWTH OF SUGARCANE. REVISTA DE AGRICULTURA NEOTROPICAL, 11(1). https://doi.org/10.32404/rean.v11i1.7712</w:t>
        <w:br/>
        <w:t>Pommier, T. (2019). Relations Diversité -Fonctionnement -Services Écosystémiques chez les micro-organismes de l’environnement. HAL (Le Centre Pour La Communication Scientifique Directe). https://hal.inrae.fr/tel-02946859</w:t>
        <w:br/>
        <w:t>Qayyum, M. A., Bilal, H., Ullah, U. N., Ali, H., &amp; Raza, H. (2021). Factors Affecting the Epizootics of Entomopathogenic Fungi-A Review. Journal of Bioresource Management, 8(4), 78. https://doi.org/10.35691/jbm.1202.0204</w:t>
        <w:br/>
        <w:t>Quesada‐Moraga, E., Garrido‐Jurado, I., Yousef-Yousef, M., &amp; González-Mas, N. (2022). Multitrophic interactions of entomopathogenic fungi in BioControl. BioControl, 67(5), 457. https://doi.org/10.1007/s10526-022-10163-5</w:t>
        <w:br/>
        <w:t>Quesada‐Moraga, E., González-Mas, N., Yousef-Yousef, M., Garrido‐Jurado, I., &amp; Fernández‐Bravo, M. (2023). Key role of environmental competence in successful use of entomopathogenic fungi in microbial pest control. Journal of Pest Science, 97(1), 1. https://doi.org/10.1007/s10340-023-01622-8</w:t>
        <w:br/>
        <w:t>Rakes, M., Morais, M. C., Sperotto, M. E., Zanardi, O. Z., Palma, G. R., Floriano, L., Zanella, R., Prestes, O. D., Bernardi, D., Grützmacher, A. D., &amp; Ribeiro, L. do P. (2025). Fungicides vs mycoinsecticides in the management of corn leafhopper:  physicochemical, in vitro and in vivo compatibilities, and degradation  kinetics in maize plants. arXiv (Cornell University). https://doi.org/10.48550/arxiv.2503.21606</w:t>
        <w:br/>
        <w:t>Rilaković, A., Santana, A. da S., Zarić, M., Manthena, V., Golus, J. A., Kruger, G. R., Vélez, A. M., &amp; Peterson, J. A. (2025). Comparing simulated aerial and chemigation insecticide applications to manage western bean cutworm (Lepidoptera: Noctuidae) in corn. Journal of Economic Entomology, 118(2), 672. https://doi.org/10.1093/jee/toae306</w:t>
        <w:br/>
        <w:t>Rivas-Franco, F., Hampton, J. G., Altier, N., Swaminathan, J., Rostás, M., Wessman, P., Saville, D. J., Jackson, T. A., Jackson, M. A., &amp; Glare, T. R. (2020). Production of Microsclerotia From Entomopathogenic Fungi and Use in Maize Seed Coating as Delivery for Biocontrol Against Fusarium graminearum. Frontiers in Sustainable Food Systems, 4. https://doi.org/10.3389/fsufs.2020.606828</w:t>
        <w:br/>
        <w:t>Rizal, L. M., Hereward, J., Brookes, D. R., Furlong, M. J., &amp; Walter, G. H. (2023). Hidden diversity within Beauveria and Metarhizium – Comparing morphology, barcoding, multilocus phylogenies and whole-genome sequences. Fungal Ecology, 67, 101304. https://doi.org/10.1016/j.funeco.2023.101304</w:t>
        <w:br/>
        <w:t>Rochefort, A. (2020). The Brassica napus seed microbiota : assemblage, transmission and contribution to plant response to a soilborne fungal pathogen. HAL (Le Centre Pour La Communication Scientifique Directe). https://tel.archives-ouvertes.fr/tel-03285677</w:t>
        <w:br/>
        <w:t>Rodrigues, I. M. W., Forim, M. R., Silva, M. F. das G. F. da, Fernandes, J. B., &amp; Filho, A. B. (2016). Effect of Ultraviolet Radiation on Fungi &amp;lt;i&amp;gt;Beauveria bassiana&amp;lt;/i&amp;gt; and &amp;lt;i&amp;gt;Metarhizium anisopliae&amp;lt;/i&amp;gt;, Pure and Encapsulated, and Bio-Insecticide Action on &amp;lt;i&amp;gt;Diatraea saccharalis&amp;lt;/i&amp;gt; Advances in Entomology, 4(3), 151. https://doi.org/10.4236/ae.2016.43016</w:t>
        <w:br/>
        <w:t>Rogge, S. A., Mayerhofer, J., Enkerli, J., Bacher, S., &amp; Grabenweger, G. (2017). Preventive application of an entomopathogenic fungus in cover crops for wireworm control. BioControl, 62(5), 613. https://doi.org/10.1007/s10526-017-9816-x</w:t>
        <w:br/>
        <w:t>Saif, I., Sufyan, M., Baboo, I., Jabbar, M., Shafiq, A., Saif, R. N., Liaqat, U., &amp; Lackner, M. (2024). Efficacy of Beauveria bassiana and Metarhizium anisopliae against wheat aphid. The EuroBiotech Journal, 8(1), 23. https://doi.org/10.2478/ebtj-2024-0003</w:t>
        <w:br/>
        <w:t>Samal, I., Bhoi, T. K., Majhi, P. K., Murmu, S., Pradhan, A. K., Kumar, D., Saini, V., Paschapur, A. U., Raj, M. N., Ankur, A., Manik, S., Behera, P. P., Mahanta, D. K., Komal, J., Alam, P., &amp; Balawi, T. A. (2023). Combatting insects mediated biotic stress through plant associated endophytic entomopathogenic fungi in horticultural crops [Review of Combatting insects mediated biotic stress through plant associated endophytic entomopathogenic fungi in horticultural crops]. Frontiers in Plant Science, 13. Frontiers Media. https://doi.org/10.3389/fpls.2022.1098673</w:t>
        <w:br/>
        <w:t>Samson, M.-É. (2021). Agronomic and environmental effect of soil conservation management practices in field crops production : Crop yield and soil carbon and nitrogen dynamics. HAL (Le Centre Pour La Communication Scientifique Directe). https://tel.archives-ouvertes.fr/tel-03609144</w:t>
        <w:br/>
        <w:t>Sánchez‐Rodríguez, A. R., Raya–Díaz, S., Zamarreño, Á. M., García‐Mina, J. M., Campillo, M. C. del, &amp; Quesada‐Moraga, E. (2017). An endophytic Beauveria bassiana strain increases spike production in bread and durum wheat plants and effectively controls cotton leafworm (Spodoptera littoralis) larvae. Biological Control, 116, 90. https://doi.org/10.1016/j.biocontrol.2017.01.012</w:t>
        <w:br/>
        <w:t>Sani, I., Jamian, S., Saad, N., Abdullah, S., Hata, E. M., Jalinas, J., &amp; Ismail, S. I. (2023). Inoculation and colonization of the entomopathogenic fungi, Isaria javanica and Purpureocillium lilacinum, in tomato plants, and their effect on seedling growth, mortality and adult emergence of Bemisia tabaci (Gennadius). PLoS ONE, 18(5). https://doi.org/10.1371/journal.pone.0285666</w:t>
        <w:br/>
        <w:t>Shaalan, R., Gerges, E., Habib, W., &amp; Ibrahim, L. (2023). Endophytic colonization by Beauveria bassiana and Metarhizium anisopliae induces growth promotion effect and increases the resistance of cucumber plants against Aphis gossypii. Journal of Plant Protection Research. https://doi.org/10.24425/jppr.2021.139244</w:t>
        <w:br/>
        <w:t>Sharma, R., &amp; Sharma, P. (2021). Fungal entomopathogens: a systematic review [Review of Fungal entomopathogens: a systematic review]. Egyptian Journal of Biological Pest Control, 31(1). Springer Nature. https://doi.org/10.1186/s41938-021-00404-7</w:t>
        <w:br/>
        <w:t>Singh, S., Jangre, A., &amp; Tiwari, R. (2021). Performance of Beauveria bassiana and Metarhizium anisopliae against Pyrilla (Pyrilla perpusilla) in sugarcane. Journal of Pharmacognosy and Phytochemistry, 10(1), 1467. https://doi.org/10.22271/phyto.2021.v10.i1u.13552</w:t>
        <w:br/>
        <w:t>Soesanto, L., Sari, L. Y., Mugiastuti, E., &amp; Manan, A. (2021). CROSS APPLICATION OF ENTOMOPATHOGENIC FUNGI RAW SECONDARY METABOLITES FOR CONTROLLING FUSARIUM WILT OF CHILI SEEDLINGS. JURNAL HAMA DAN PENYAKIT TUMBUHAN TROPIKA, 21(2), 82. https://doi.org/10.23960/jhptt.22182-90</w:t>
        <w:br/>
        <w:t>Stahl, J. M., Babendreier, D., &amp; Haye, T. (2018). Using the egg parasitoid Anastatus bifasciatus against the invasive brown marmorated stink bug in Europe: can non-target effects be ruled out? Journal of Pest Science, 91(3), 1005. https://doi.org/10.1007/s10340-018-0969-x</w:t>
        <w:br/>
        <w:t>Taddei, A., &amp; Fallot, A. (2023). Collection of soil metaphors. HAL (Le Centre Pour La Communication Scientifique Directe). https://hal.science/hal-04124348</w:t>
        <w:br/>
        <w:t>Tang, X., Wang, X., Cheng, X., Wang, X., &amp; Fang, W. (2025). Metarhizium fungi as plant symbionts. New Plant Protection., 2(1). https://doi.org/10.1002/npp2.23</w:t>
        <w:br/>
        <w:t>Touré, S. (2018). Interactions between insects and entomopathogenic microorganisms to discover new insecticidal and antimicrobial compounds. HAL (Le Centre Pour La Communication Scientifique Directe). https://tel.archives-ouvertes.fr/tel-02163933</w:t>
        <w:br/>
        <w:t>Vega, F. E., Goettel, M. S., Blackwell, M. S. A., Chandler, D., Jackson, M. A., Keller, S., Koike, M., Maniania, N. K., Monzón, A., Ownley, B. H., Pell, J. K., Rangel, D. E. N., &amp; Roy, H. E. (2009). Fungal entomopathogens: new insights on their ecology. Fungal Ecology, 2(4), 149. https://doi.org/10.1016/j.funeco.2009.05.001</w:t>
        <w:br/>
        <w:t>Vivekanandhan, P., Alford, L., &amp; Krutmuang, P. (2024). Editorial: Role of entomopathogenic fungi in sustainable agriculture. Frontiers in Microbiology, 15, 1504175. https://doi.org/10.3389/fmicb.2024.1504175</w:t>
        <w:br/>
        <w:t>Vivekanandhan, P., Kannan, S., Sarayut, P., &amp; Krutmuang, P. (2024). Biology, classification, and entomopathogen-based management and their mode of action on Tuta absoluta (Meyrick) in Asia [Review of Biology, classification, and entomopathogen-based management and their mode of action on Tuta absoluta (Meyrick) in Asia]. Frontiers in Microbiology, 15. Frontiers Media. https://doi.org/10.3389/fmicb.2024.1429690</w:t>
        <w:br/>
        <w:t>Vukicevich, E., Lowery, T., Bowen, P., Úrbez‐Torres, J. R., &amp; Hart, M. M. (2016). Cover crops to increase soil microbial diversity and mitigate decline in perennial agriculture. A review [Review of Cover crops to increase soil microbial diversity and mitigate decline in perennial agriculture. A review]. Agronomy for Sustainable Development, 36(3). Springer Science+Business Media. https://doi.org/10.1007/s13593-016-0385-7</w:t>
        <w:br/>
        <w:t>Wakil, W., Tahir, M., Al‐Sadi, A. M., &amp; Shapiro‐Ilan, D. I. (2020). Interactions Between Two Invertebrate Pathogens: An Endophytic Fungus and an Externally Applied Bacterium. Frontiers in Microbiology, 11. https://doi.org/10.3389/fmicb.2020.522368</w:t>
        <w:br/>
        <w:t>Wallis, C. M., &amp; Sisterson, M. S. (2024). Opportunities for optimizing fungal biological control agents for long-term and effective management of insect pests of orchards and vineyards: a review [Review of Opportunities for optimizing fungal biological control agents for long-term and effective management of insect pests of orchards and vineyards: a review]. Frontiers in Fungal Biology, 5. Frontiers Media. https://doi.org/10.3389/ffunb.2024.1443343</w:t>
        <w:br/>
        <w:t>Wei, Y., He, J., Liang, C., &amp; Cheng, D. (2024). Isolation, identification, biological characteristics, and pathogenicity of an entomogenous fungus against the Egyptian mealybug, Icerya aegyptiaca (J.) (Hemiptera: Monophlebidae). Egyptian Journal of Biological Pest Control, 34(1). https://doi.org/10.1186/s41938-024-00802-7</w:t>
        <w:br/>
        <w:t>Wint, F. C. D., Nicholson, S. W., Koid, Q. Q., Zahra, S., Chestney-Claassen, G., Seelan, J. S. S., Xie, J., Xing, S., Fayle, T. M., &amp; Haelewaters, D. (2024). Introducing a global database of entomopathogenic fungi and their host associations. Scientific Data, 11(1), 1418. https://doi.org/10.1038/s41597-024-04103-4</w:t>
        <w:br/>
        <w:t>Yadav, S., Thodusu, M., Shankar, U., Nautiyal, A., Khajuria, M., Sarangi, S., Maheshwari, S., &amp; Pandey, K. P. (2025). Entomopathogenic Fungi: Dual Role in Insect Control and Plant Disease Management. UTTAR PRADESH JOURNAL OF ZOOLOGY, 46(2), 172. https://doi.org/10.56557/upjoz/2025/v46i24772</w:t>
      </w:r>
    </w:p>
    <w:p>
      <w:pPr>
        <w:jc w:val="center"/>
      </w:pPr>
      <w:r>
        <w:rPr>
          <w:color w:val="999999"/>
          <w:sz w:val="18"/>
        </w:rPr>
        <w:t>────────────────────────────────────────</w:t>
      </w:r>
    </w:p>
    <w:p>
      <w:pPr>
        <w:pStyle w:val="Heading1"/>
      </w:pPr>
      <w:r>
        <w:t>I. Cadre réglementaire</w:t>
      </w:r>
    </w:p>
    <w:p>
      <w:pPr>
        <w:pStyle w:val="Heading2"/>
      </w:pPr>
      <w:r>
        <w:t>1.1 Règlement UE 2019/1009 : définition et catégories</w:t>
      </w:r>
    </w:p>
    <w:p>
      <w:r>
        <w:t>Le règlement UE 2019/1009 définit les biostimulants et leurs catégories. C'est le cadre légal qui distingue biostimulants, engrais et produits phytosanitaires.</w:t>
      </w:r>
    </w:p>
    <w:p/>
    <w:p>
      <w:r>
        <w:t>→ Le règlement UE 2019/1009 définit les biostimulants comme des produits qui « stimulent les processus naturels de nutrition des plantes indépendamment des nutriments qu'ils contiennent ». C'est la reconnaissance officielle de l'effet BIOLOGIQUE distinct de l'effet CHIMIQUE.</w:t>
        <w:br/>
        <w:t>→ 7 catégories : (1) substances humiques/fulviques (2) produits à base d'algues (3) acides aminés et peptides (4) micro-organismes (5) biopolymères (chitosane) (6) extraits végétaux (7) composés inorganiques.</w:t>
        <w:br/>
        <w:t>→ Le marché mondial des biostimulants : 3.5 Md€ (2023), croissance 12%/an. La transition réglementaire crée un cadre pour les fermentations artisanales (bokashi, EM, LiFoFer) — mais aussi un risque de récupération par l'agrochimie.</w:t>
      </w:r>
    </w:p>
    <w:p>
      <w:pPr>
        <w:jc w:val="center"/>
      </w:pPr>
      <w:r>
        <w:rPr>
          <w:color w:val="999999"/>
          <w:sz w:val="18"/>
        </w:rPr>
        <w:t>────────────────────────────────────────</w:t>
      </w:r>
    </w:p>
    <w:p>
      <w:pPr>
        <w:pStyle w:val="Heading2"/>
      </w:pPr>
      <w:r>
        <w:t>1.2 La chaîne causale biostimulant → sol → plante</w:t>
      </w:r>
    </w:p>
    <w:p>
      <w:r>
        <w:t>Le biostimulant n'agit pas directement sur la plante mais sur le système sol-microbiome. Lien avec le diagnostic (diagnostic microbien → choix biostimulant).</w:t>
      </w:r>
    </w:p>
    <w:p/>
    <w:p>
      <w:r>
        <w:t>→ La chaîne causale biostimulant → sol → plante : le biostimulant ne nourrit pas la plante directement — il STIMULE le microbiome du sol qui nourrit la plante. L'effet est INDIRECT et dépend de l'état biologique du sol.</w:t>
        <w:br/>
        <w:t>→ Sur sol dégradé (microbiome appauvri) : le biostimulant a un effet MAJEUR (il apporte ce qui manque). Sur sol riche (microbiome fonctionnel) : l'effet est MARGINAL (le sol fait déjà le travail). C'est pourquoi les résultats varient tant.</w:t>
        <w:br/>
        <w:t>→ Le diagnostic AVANT le biostimulant : ratio C/Argile (état structural) + F/B (état biologique) + analyse chimique (carences NPS). Le biostimulant est un OUTIL de transition, pas une solution permanente.</w:t>
      </w:r>
    </w:p>
    <w:p>
      <w:pPr>
        <w:jc w:val="center"/>
      </w:pPr>
      <w:r>
        <w:rPr>
          <w:color w:val="999999"/>
          <w:sz w:val="18"/>
        </w:rPr>
        <w:t>────────────────────────────────────────</w:t>
      </w:r>
    </w:p>
    <w:p>
      <w:pPr>
        <w:pStyle w:val="Heading1"/>
      </w:pPr>
      <w:r>
        <w:t>II. Biostimulants abiotiques</w:t>
      </w:r>
    </w:p>
    <w:p>
      <w:pPr>
        <w:pStyle w:val="Heading2"/>
      </w:pPr>
      <w:r>
        <w:t>2.1 Acides humiques, fulviques et aminés</w:t>
      </w:r>
    </w:p>
    <w:p>
      <w:r>
        <w:t>Les acides humiques et fulviques stimulent l'absorption racinaire et la CEC. Les acides aminés (hydrolysat) fournissent de l'azote organique directement assimilable.</w:t>
      </w:r>
    </w:p>
    <w:p/>
    <w:p>
      <w:r>
        <w:t>→ Les acides humiques et fulviques sont des FRAGMENTS de MO en décomposition. Les fulviques (faible poids moléculaire, solubles) chélatent les micronutriments et les rendent disponibles. Les humiques (haut poids moléculaire) structurent les agrégats.</w:t>
        <w:br/>
        <w:t>→ Les acides aminés exogènes (glutamate, glycine) stimulent le métabolisme microbien et le chimiotactisme racinaire. Ils fournissent de l'azote organique directement utilisable sans nitrification (pas d'acidification, pas de lessivage).</w:t>
        <w:br/>
        <w:t>→ Limite : les acides humiques/fulviques commerciaux sont extraits de léonardite (lignite oxydé) = ressource fossile non renouvelable. Les alternatives durables : compost de qualité, vermicompost, fermentations qui produisent les MÊMES molécules in situ.</w:t>
        <w:br/>
        <w:t>→ ENRICHISSEMENT NOTES (série chélates DIY — Fe, Mg, amino-Ca-B-Mo) :</w:t>
        <w:br/>
        <w:t>→ Chélate fer-citrique (libération rapide, foliaire) : 10-20 L eau pure (RO/pluie) + 1 lb acide citrique + 1 lb FeSO₄·7H₂O. Solution vert clair = complexe actif. Couleur rouille = fer oxydé = toxique. Usage frais, dilution 1:100 foliaire. Efficace si pH sol 5.5-6.5 ; au-delà de pH 7.5, seul le chélate fonctionne.</w:t>
        <w:br/>
        <w:t>→ Chélate amino-Fe (libération lente, sol) : ajouter 1 L hydrolysat protéique lactofermenté dans 1000 L de solution fer-citrique. Les acides aminés (glycine, glutamate) lient le fer naturellement. Repos 12h. Stockage meilleur que la version citrique.</w:t>
        <w:br/>
        <w:t>→ Chélate Mg-petit-lait : 1 kg sel d'Epsom (MgSO₄·7H₂O) + 10 L petit-lait + 5 L eau, repos 24-48h. L'acide lactique + peptides du petit-lait (lactalbumine, lactoglobuline) chélatent Mg²⁺ via groupes -COOH, -NH₂, -OH. Application foliaire 1-2%, optimal pendant nouaison et remplissage grain. Conservation ~2 mois au frais.</w:t>
        <w:br/>
        <w:t>→ Complexe amino-chélate Ca-B-Mo (DOI MDPI 1422-0067/24/11/9714) : 2L hydrolysat protéique + 8L eau + 20g CaCl₂ + 2g acide borique + 0.5g molybdate de sodium. pH cible 6. Ca²⁺ se lie aux carboxyles, B aux hydroxyles, MoO₄²⁻ aux sites amines protonés. Application 1:50 à 1:100, stades Feekes 4-7, floraison, pré-tassel.</w:t>
      </w:r>
    </w:p>
    <w:p>
      <w:pPr>
        <w:jc w:val="center"/>
      </w:pPr>
      <w:r>
        <w:rPr>
          <w:color w:val="999999"/>
          <w:sz w:val="18"/>
        </w:rPr>
        <w:t>────────────────────────────────────────</w:t>
      </w:r>
    </w:p>
    <w:p>
      <w:pPr>
        <w:pStyle w:val="Heading1"/>
      </w:pPr>
      <w:r>
        <w:t>III. Bioinoculants</w:t>
      </w:r>
    </w:p>
    <w:p>
      <w:pPr>
        <w:pStyle w:val="Heading2"/>
      </w:pPr>
      <w:r>
        <w:t>3.1 PGPR : sélection et application</w:t>
      </w:r>
    </w:p>
    <w:p>
      <w:r>
        <w:t>Les PGPR comme bioinoculants : sélection de souches, formulation, application. Le défi de la survie dans le sol et de la compétition avec le microbiome indigène.</w:t>
      </w:r>
    </w:p>
    <w:p>
      <w:r>
        <w:t>SynComs : 3-8 souches optimal en champ. Zhao 2024 : 3 souches protection nématodes. Hu 2021 : 6-8 souches reshape tomate/blé. Design principle 4 (Box 2) : keystone taxa + redondance fonctionnelle. B. velezensis + T. guizhouense antagonistes in vitro mais alliance induite par pathogène dans le sol (Xie 2025). DP2 : prefer locally adapted partners. AI protein language models (Hayes 2025) simulent ~500 Ma évolution in silico. Design-Build-Test-Learn pour ingénierie SynCom.</w:t>
      </w:r>
    </w:p>
    <w:p/>
    <w:p>
      <w:r>
        <w:t>→ Les PGPR sélectionnées (Bacillus subtilis, B. amyloliquefaciens, Pseudomonas fluorescens) sont les biostimulants les plus étudiés : &gt; 5000 publications. Effets : fixation N, solubilisation P, production IAA, ISR, biocontrôle.</w:t>
        <w:br/>
        <w:t>→ Le CHOIX de la souche dépend du problème : carence P → Bacillus megaterium (phosphatase). Stress hydrique → B. subtilis (production EPS, biofilms). Pathogènes → P. fluorescens (antibiotiques, ISR). Stress froid → Pseudomonas sp. psychrotolérantes.</w:t>
        <w:br/>
        <w:t>→ Limites de l'inoculation commerciale : les souches importées survivent rarement &gt; 2-4 semaines dans un sol qui ne leur est pas favorable. L'approche IMO/KNF (micro-organismes locaux) est souvent plus durable car adaptée au contexte.</w:t>
      </w:r>
    </w:p>
    <w:p>
      <w:pPr>
        <w:jc w:val="center"/>
      </w:pPr>
      <w:r>
        <w:rPr>
          <w:color w:val="999999"/>
          <w:sz w:val="18"/>
        </w:rPr>
        <w:t>────────────────────────────────────────</w:t>
      </w:r>
    </w:p>
    <w:p>
      <w:pPr>
        <w:pStyle w:val="Heading2"/>
      </w:pPr>
      <w:r>
        <w:t>3.2 Bioinoculants mycorhiziens CMA : conditions de succès</w:t>
      </w:r>
    </w:p>
    <w:p>
      <w:r>
        <w:t>Les bioinoculants mycorhiziens (CMA) : conditions de succès (absence de P soluble, plante hôte, non-labour) et conditions d'échec (sol labouré, P élevé, fongicides).</w:t>
      </w:r>
    </w:p>
    <w:p/>
    <w:p>
      <w:r>
        <w:t>→ Les bioinoculants CMA (Rhizophagus irregularis, Funneliformis mosseae) restaurent la symbiose mycorhizienne sur sol dégradé. Succès condition : sol pauvre en P soluble (sinon la plante n'active pas la symbiose) + absence de fongicides.</w:t>
        <w:br/>
        <w:t>→ Facteurs d'échec de l'inoculation CMA : (1) P soluble trop élevé (&gt; 20 mg/kg Olsen) → la plante n'investit pas dans le champignon (2) fongicides systémiques (3) labour qui détruit le réseau (4) jachère prolongée (pas d'hôte vivant).</w:t>
        <w:br/>
        <w:t>→ La meilleure stratégie CMA n'est PAS l'inoculation — c'est la PRÉSERVATION : non-labour + couvert permanent avec plantes mycorhizogènes (trèfle, luzerne, graminées). Le sol a ses propres CMA locales, adaptées — il suffit de ne pas les détruire.</w:t>
      </w:r>
    </w:p>
    <w:p>
      <w:pPr>
        <w:jc w:val="center"/>
      </w:pPr>
      <w:r>
        <w:rPr>
          <w:color w:val="999999"/>
          <w:sz w:val="18"/>
        </w:rPr>
        <w:t>────────────────────────────────────────</w:t>
      </w:r>
    </w:p>
    <w:p>
      <w:pPr>
        <w:pStyle w:val="Heading1"/>
      </w:pPr>
      <w:r>
        <w:t>IV. Bokashi</w:t>
      </w:r>
    </w:p>
    <w:p>
      <w:pPr>
        <w:pStyle w:val="Heading2"/>
      </w:pPr>
      <w:r>
        <w:t>4.1 Bokashi comme amendement biologique : mécanismes</w:t>
      </w:r>
    </w:p>
    <w:p>
      <w:r>
        <w:t>Le bokashi comme amendement biologique : apport de microbiome diversifié, métabolites actifs, carbone fermenté. Lien avec les grands cycles (risque d'effet d'amorçage par le carbone labile) et le potentiel redox.</w:t>
      </w:r>
    </w:p>
    <w:p/>
    <w:p>
      <w:r>
        <w:t>→ Le bokashi comme amendement biologique : 6 effets simultanés documentés. (1) Apport MO fermentée (C labile + C récalcitrant) (2) inoculation microbienne (LAB, Bacillus, levures) (3) choc redox descendant (-170 mV) (4) métabolites actifs (GABA, vitamines B, polyphénols) (5) solubilisation minérale (Fe²⁺, Mn²⁺, P) (6) biofilms sur argile.</w:t>
        <w:br/>
        <w:t>→ Le mécanisme redox est le plus ORIGINAL : le bokashi abaisse le Eh du sol de +200 à +50 mV en quelques heures. Cela mobilise Fe²⁺ (solubilise le P fixé), Mn²⁺ (oligo-élément), et favorise les anaérobies fonctionnels.</w:t>
        <w:br/>
        <w:t>→ Dosage selon le diagnostic : sol dégradé (Zone 4) = 5-10 t/ha incorporé (contact MO-argile). Sol en transition (Zone 2-3) = 2-5 t/ha en surface. Sol mature (Zone 1) = 1-2 t/ha ou rien (le sol se suffit).</w:t>
        <w:br/>
        <w:t>→ ENRICHISSEMENT NOTES (chélation in-biol et compost enrichi en poudre de roche) :</w:t>
        <w:br/>
        <w:t>→ Mécanisme de chélation dans les bioferments (SuperMagro, Biol) : le basalte/granite fournit une large gamme de minéraux qui sont chélatés par les molécules organiques et encapsulés dans les cellules microbiennes pendant la fermentation = « lunch boxes » de nutriments biodisponibles. ATTENTION : calcaire/grès/aragonite = 99% CaCO₃, NON équivalent au basalte. Le « calcium négativement chargé » est physiquement impossible — alerte contre la désinformation commerciale.</w:t>
        <w:br/>
        <w:t>→ Poudre de roche en compostage (Ghosh et al. 2014, Sullivan et al. 2007, Birk et al. 2012) : ajout en DÉBUT de compostage améliore la qualité finale — réduction des émissions de COV, augmentation du contenu minéral, amélioration nutriments et stabilité. Le compostage mineral-mediated mime la formation d'humus dans les sols sains. ALERTE : poudre de roche seule (sans compost) peut déclencher la minéralisation de la MOS existante (priming effect).</w:t>
        <w:br/>
        <w:t>→ Données verger pommier (2 ans) : compost + poudre de roche augmente significativement Ca, Mg, Fe, Mn, Zn, B. Boost activité et diversité microbienne du sol. Amélioration rendements et valeur nutritionnelle des pommes.</w:t>
      </w:r>
    </w:p>
    <w:p>
      <w:pPr>
        <w:jc w:val="center"/>
      </w:pPr>
      <w:r>
        <w:rPr>
          <w:color w:val="999999"/>
          <w:sz w:val="18"/>
        </w:rPr>
        <w:t>────────────────────────────────────────</w:t>
      </w:r>
    </w:p>
    <w:p>
      <w:pPr>
        <w:pStyle w:val="Heading2"/>
      </w:pPr>
      <w:r>
        <w:t>4.2 Modalités d'application et formulations</w:t>
      </w:r>
    </w:p>
    <w:p>
      <w:r>
        <w:t>Modalités d'application : doses, fréquence, moment, incorporation vs surface. Formulations commerciales vs fabrication fermière.</w:t>
      </w:r>
    </w:p>
    <w:p/>
    <w:p>
      <w:r>
        <w:t>→ Trois modes d'application : (1) bokashi solide en surface ou incorporé (2) extrait liquide (fermentation prolongée en eau, 1:20, aération intermittente) (3) spray foliaire dilué (1:500, métabolites + micro-organismes).</w:t>
        <w:br/>
        <w:t>→ Formulations adaptées : bokashi + urine (N disponible) + cendre (K, P, Ca) ≈ ratio de Kirkby empirique. Bokashi + argile broyée (bentonite) = création de complexes organo-minéraux (accélère la stabilisation MAOM).</w:t>
        <w:br/>
        <w:t>→ Le timing d'application est CRITIQUE : automne (avant l'hiver, nourrir les micro-organismes pendant la période froide) &gt; printemps (stimuler la reprise biologique) &gt; été (risque de priming effect si sol sec).</w:t>
      </w:r>
    </w:p>
    <w:p>
      <w:pPr>
        <w:jc w:val="center"/>
      </w:pPr>
      <w:r>
        <w:rPr>
          <w:color w:val="999999"/>
          <w:sz w:val="18"/>
        </w:rPr>
        <w:t>────────────────────────────────────────</w:t>
      </w:r>
    </w:p>
    <w:p>
      <w:pPr>
        <w:pStyle w:val="Heading1"/>
      </w:pPr>
      <w:r>
        <w:t>V. Intégration et limites</w:t>
      </w:r>
    </w:p>
    <w:p>
      <w:pPr>
        <w:pStyle w:val="Heading2"/>
      </w:pPr>
      <w:r>
        <w:t>5.1 Conditions de succès et limites</w:t>
      </w:r>
    </w:p>
    <w:p>
      <w:r>
        <w:t>Les conditions de succès des biostimulants : sol biologiquement actif, MO suffisante, pas de fongicides, pH compatible. Les limites : un biostimulant ne compense pas un sol mort.</w:t>
      </w:r>
    </w:p>
    <w:p/>
    <w:p>
      <w:r>
        <w:t>→ Conditions de succès des biostimulants : (1) sol avec une capacité biologique minimale (pas sur sol mort — il faut d'abord reconstruire) (2) diagnostic préalable (ratio C/Argile, F/B, carences) (3) application combinée (biostimulant + mulch + non-labour &gt; biostimulant seul).</w:t>
        <w:br/>
        <w:t>→ Limites documentées : (1) variabilité des résultats (30% des essais montrent un effet nul) (2) dépendance au contexte (sol, climat, culture) (3) absence de standardisation des produits artisanaux (4) coût si achat commercial.</w:t>
        <w:br/>
        <w:t>→ Le biostimulant n'est PAS une fin en soi — c'est un ACCÉLÉRATEUR de transition. L'objectif est un sol qui se passe de biostimulants (Zone 1, microbiome autonome). Les meilleures fermes en transition n'en utilisent plus après 5-7 ans.</w:t>
        <w:br/>
        <w:t>→ ENRICHISSEMENT NOTES (timing pulvérisation foliaire pré-pluie) : Les minéraux foliaires ne sont actifs que si HR &gt; Point de Déliquescence (POD). La pluie maintient HR ~100% = absorption maximale.</w:t>
        <w:br/>
        <w:t>→ Physiologie : stomates ouverts en pré-pluie + cuticule gonflée par l'humidité = double voie d'absorption (stomatique + cuticulaire). Couverture nuageuse = bouclier UV pour les biofertilisants. Film d'eau = pont de transport microbien.</w:t>
        <w:br/>
        <w:t>→ Effet « wash-in » : la pluie transporte les nutriments par stemflow vers la rhizosphère = double bénéfice (foliaire + sol).</w:t>
        <w:br/>
        <w:t>→ Sweet spot : pulvériser 2-6h avant une pluie LÉGÈRE à modérée. Pluie forte &lt; 30-60 min après = lessivage. Hack : 10× la concentration avant pluie légère, couvrir 10× plus vite.</w:t>
        <w:br/>
        <w:t>→ Bio-adhésif xanthan gum 0.01% comme « colle » microbienne sur les feuilles — maintient les micro-organismes en place malgré la pluie.</w:t>
      </w:r>
    </w:p>
    <w:p>
      <w:pPr>
        <w:jc w:val="center"/>
      </w:pPr>
      <w:r>
        <w:rPr>
          <w:color w:val="999999"/>
          <w:sz w:val="18"/>
        </w:rPr>
        <w:t>────────────────────────────────────────</w:t>
      </w:r>
    </w:p>
    <w:p>
      <w:pPr>
        <w:pStyle w:val="Heading1"/>
      </w:pPr>
      <w:r>
        <w:t>Conclusion</w:t>
      </w:r>
    </w:p>
    <w:p>
      <w:r>
        <w:t>Ce document couvre 8 sections organisées autour de 5 chapitres : I. Cadre réglementaire, II. Biostimulants abiotiques, III. Bioinoculants, IV. Bokashi et 1 autres. La conclusion doit synthétiser les mécanismes clés et ouvrir sur les perspectives pratiques ou scientifiques.</w:t>
      </w:r>
    </w:p>
    <w:p>
      <w:r>
        <w:rPr>
          <w:i/>
          <w:color w:val="707070"/>
        </w:rPr>
        <w:t>Les biostimulants sont des outils, pas des solutions miracles. Synthétiser : le sol doit être prêt (biologie active) pour que le biostimulant fonctionne. Le diagnostic précède toujours la prescription.</w:t>
      </w:r>
    </w:p>
    <w:p>
      <w:r>
        <w:br w:type="page"/>
      </w:r>
    </w:p>
    <w:p>
      <w:pPr>
        <w:pStyle w:val="Heading1"/>
      </w:pPr>
      <w:r>
        <w:t>Annexes</w:t>
      </w:r>
    </w:p>
    <w:p>
      <w:pPr>
        <w:pStyle w:val="Heading2"/>
      </w:pPr>
      <w:r>
        <w:t>Renvois inter-documents (7)</w:t>
      </w:r>
    </w:p>
    <w:p>
      <w:r>
        <w:t>→ document · Voir H2 §III : Risque de transfert horizontal de gènes de résistance via inoculums fermentés</w:t>
      </w:r>
    </w:p>
    <w:p>
      <w:r>
        <w:t>→ document · Voir H3 : risque ARG des biostimulants fermentés</w:t>
      </w:r>
    </w:p>
    <w:p>
      <w:r>
        <w:t>→ document · Voir S2 §I : Impact des biostimulants fermentés sur l'équilibre copiotrophes/oligotrophes</w:t>
      </w:r>
    </w:p>
    <w:p>
      <w:r>
        <w:t>→ document · Voir S4 §I : Risque de Priming Effect lors d'apports de carbone labile fermenté</w:t>
      </w:r>
    </w:p>
    <w:p>
      <w:r>
        <w:t>→ document · Voir S4 : bokashi et potentiel redox</w:t>
      </w:r>
    </w:p>
    <w:p>
      <w:r>
        <w:t>→ I · Voir V2 §IV : La dernière étape de la chaîne S→M→M→P passe par le cycle de rhizophagie pour l'absorption effective des nutriments microbiens</w:t>
      </w:r>
    </w:p>
    <w:p>
      <w:r>
        <w:t>→ I · Voir V2 §II : Les mécanismes hormonaux (ACC désaminase, IAA) comme base de l'efficacité des biostimulants</w:t>
      </w:r>
    </w:p>
    <w:p>
      <w:pPr>
        <w:pStyle w:val="Heading2"/>
      </w:pPr>
      <w:r>
        <w:t>Sources (17)</w:t>
      </w:r>
    </w:p>
    <w:p>
      <w:r>
        <w:rPr>
          <w:sz w:val="18"/>
        </w:rPr>
        <w:t>Alori &amp; Babalola (2018). Microbial Inoculants for Improving Crop Quality and Human Health in Africa — Frontiers in Microbiology · DOI: 10.3389/fmicb.2018.02213</w:t>
      </w:r>
    </w:p>
    <w:p>
      <w:r>
        <w:rPr>
          <w:sz w:val="18"/>
        </w:rPr>
        <w:t>Behie &amp; Bidochka (2013).   [à pousser dans Zotero]</w:t>
      </w:r>
    </w:p>
    <w:p>
      <w:r>
        <w:rPr>
          <w:sz w:val="18"/>
        </w:rPr>
        <w:t>Bernonville (2009).   [à pousser dans Zotero]</w:t>
      </w:r>
    </w:p>
    <w:p>
      <w:r>
        <w:rPr>
          <w:sz w:val="18"/>
        </w:rPr>
        <w:t>Chaimovich &amp; Porto (2022).   [à pousser dans Zotero]</w:t>
      </w:r>
    </w:p>
    <w:p>
      <w:r>
        <w:rPr>
          <w:sz w:val="18"/>
        </w:rPr>
        <w:t>Dent (2018).   [à pousser dans Zotero]</w:t>
      </w:r>
    </w:p>
    <w:p>
      <w:r>
        <w:rPr>
          <w:sz w:val="18"/>
        </w:rPr>
        <w:t>Domergue (2017). Functional diversity of Faba-bean associated rhizobia in agro-ecosystem of South of France — HAL (Le Centre pour la Communication Scientifique Directe) · https://theses.hal.science/tel-02107043</w:t>
      </w:r>
    </w:p>
    <w:p>
      <w:r>
        <w:rPr>
          <w:sz w:val="18"/>
        </w:rPr>
        <w:t>Fenibo &amp; Matambo (2025).   [à pousser dans Zotero]</w:t>
      </w:r>
    </w:p>
    <w:p>
      <w:r>
        <w:rPr>
          <w:sz w:val="18"/>
        </w:rPr>
        <w:t>Kumar (2024). Induced Systemic Resistance in Plants: Mechanisms and Agricultural Significance — Journal for Research in Applied Sciences and Biotechnology · DOI: 10.55544/jrasb.3.4.24</w:t>
      </w:r>
    </w:p>
    <w:p>
      <w:r>
        <w:rPr>
          <w:sz w:val="18"/>
        </w:rPr>
        <w:t>Mwamburi (2021).   [à pousser dans Zotero]</w:t>
      </w:r>
    </w:p>
    <w:p>
      <w:r>
        <w:rPr>
          <w:sz w:val="18"/>
        </w:rPr>
        <w:t>Pommier (2019).   [à pousser dans Zotero]</w:t>
      </w:r>
    </w:p>
    <w:p>
      <w:r>
        <w:rPr>
          <w:sz w:val="18"/>
        </w:rPr>
        <w:t>Ramírez &amp; Damo (2023).   [à pousser dans Zotero]</w:t>
      </w:r>
    </w:p>
    <w:p>
      <w:r>
        <w:rPr>
          <w:sz w:val="18"/>
        </w:rPr>
        <w:t>Rochefort (2020). The Brassica napus seed microbiota : assemblage, transmission and contribution to plant response to a soilborne fungal pathogen — HAL (Le Centre pour la Communication Scientifique Directe) · https://tel.archives-ouvertes.fr/tel-03285677</w:t>
      </w:r>
    </w:p>
    <w:p>
      <w:r>
        <w:rPr>
          <w:sz w:val="18"/>
        </w:rPr>
        <w:t>Sharma &amp; Kaur (2021). Soil Microbial Diversity and Metagenomics — Soil Nitrogen Ecology · DOI: 10.1007/978-3-030-71206-8_14</w:t>
      </w:r>
    </w:p>
    <w:p>
      <w:r>
        <w:rPr>
          <w:sz w:val="18"/>
        </w:rPr>
        <w:t>Taddei &amp; Fallot (2023). Collection of soil metaphors — HAL (Le Centre pour la Communication Scientifique Directe) · https://hal.science/hal-04124348</w:t>
      </w:r>
    </w:p>
    <w:p>
      <w:r>
        <w:rPr>
          <w:sz w:val="18"/>
        </w:rPr>
        <w:t>Tchichellé (2016).   [à pousser dans Zotero]</w:t>
      </w:r>
    </w:p>
    <w:p>
      <w:r>
        <w:rPr>
          <w:sz w:val="18"/>
        </w:rPr>
        <w:t>Touré (2018). Interactions between insects and entomopathogenic microorganisms to discover new insecticidal and antimicrobial compounds · https://tel.archives-ouvertes.fr/tel-02163933</w:t>
      </w:r>
    </w:p>
    <w:p>
      <w:r>
        <w:rPr>
          <w:sz w:val="18"/>
        </w:rPr>
        <w:t>Wallis &amp; Sisterson (2024).   [à pousser dans Zotero]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