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Agroforesterie et Systèmes Pérennes</w:t>
      </w:r>
    </w:p>
    <w:p>
      <w:pPr>
        <w:pStyle w:val="Heading1"/>
      </w:pPr>
      <w:r>
        <w:t>Termes canoniques (25)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Agroforesterie et Bocage</w:t>
            </w:r>
          </w:p>
        </w:tc>
        <w:tc>
          <w:tcPr>
            <w:tcW w:type="dxa" w:w="2880"/>
          </w:tcPr>
          <w:p>
            <w:r>
              <w:t>Agroforestry and Hedgerow Systems</w:t>
            </w:r>
          </w:p>
        </w:tc>
        <w:tc>
          <w:tcPr>
            <w:tcW w:type="dxa" w:w="2880"/>
          </w:tcPr>
          <w:p>
            <w:r>
              <w:t>Paysages bocagers ; réseaux de haies champêtres ; systèmes arborés ; système agroforestier paysager</w:t>
            </w:r>
          </w:p>
        </w:tc>
      </w:tr>
      <w:tr>
        <w:tc>
          <w:tcPr>
            <w:tcW w:type="dxa" w:w="2880"/>
          </w:tcPr>
          <w:p>
            <w:r>
              <w:t>CMN agroforestier</w:t>
            </w:r>
          </w:p>
        </w:tc>
        <w:tc>
          <w:tcPr>
            <w:tcW w:type="dxa" w:w="2880"/>
          </w:tcPr>
          <w:p>
            <w:r>
              <w:t>agroforestry common mycorrhizal network</w:t>
            </w:r>
          </w:p>
        </w:tc>
        <w:tc>
          <w:tcPr>
            <w:tcW w:type="dxa" w:w="2880"/>
          </w:tcPr>
          <w:p>
            <w:r>
              <w:t>Réseau mycorhizien commun ; connexion fongique inter-arbres ; réseau de transfert de nutriments</w:t>
            </w:r>
          </w:p>
        </w:tc>
      </w:tr>
      <w:tr>
        <w:tc>
          <w:tcPr>
            <w:tcW w:type="dxa" w:w="2880"/>
          </w:tcPr>
          <w:p>
            <w:r>
              <w:t>Ernst Götsch</w:t>
            </w:r>
          </w:p>
        </w:tc>
        <w:tc>
          <w:tcPr>
            <w:tcW w:type="dxa" w:w="2880"/>
          </w:tcPr>
          <w:p>
            <w:r>
              <w:t>Ernst Götsch</w:t>
            </w:r>
          </w:p>
        </w:tc>
        <w:tc>
          <w:tcPr>
            <w:tcW w:type="dxa" w:w="2880"/>
          </w:tcPr>
          <w:p>
            <w:r>
              <w:t>Fondateur de l'agriculture syntropique ; chercheur-praticien en agrobiologie</w:t>
            </w:r>
          </w:p>
        </w:tc>
      </w:tr>
      <w:tr>
        <w:tc>
          <w:tcPr>
            <w:tcW w:type="dxa" w:w="2880"/>
          </w:tcPr>
          <w:p>
            <w:r>
              <w:t>agriculture syntropic</w:t>
            </w:r>
          </w:p>
        </w:tc>
        <w:tc>
          <w:tcPr>
            <w:tcW w:type="dxa" w:w="2880"/>
          </w:tcPr>
          <w:p>
            <w:r>
              <w:t>syntropic agriculture</w:t>
            </w:r>
          </w:p>
        </w:tc>
        <w:tc>
          <w:tcPr>
            <w:tcW w:type="dxa" w:w="2880"/>
          </w:tcPr>
          <w:p>
            <w:r>
              <w:t>agriculture de succession ; agriculture syntropique</w:t>
            </w:r>
          </w:p>
        </w:tc>
      </w:tr>
      <w:tr>
        <w:tc>
          <w:tcPr>
            <w:tcW w:type="dxa" w:w="2880"/>
          </w:tcPr>
          <w:p>
            <w:r>
              <w:t>agriculture syntropique (Götsch)</w:t>
            </w:r>
          </w:p>
        </w:tc>
        <w:tc>
          <w:tcPr>
            <w:tcW w:type="dxa" w:w="2880"/>
          </w:tcPr>
          <w:p>
            <w:r>
              <w:t>syntropic farming (Götsch method)</w:t>
            </w:r>
          </w:p>
        </w:tc>
        <w:tc>
          <w:tcPr>
            <w:tcW w:type="dxa" w:w="2880"/>
          </w:tcPr>
          <w:p>
            <w:r/>
          </w:p>
        </w:tc>
      </w:tr>
      <w:tr>
        <w:tc>
          <w:tcPr>
            <w:tcW w:type="dxa" w:w="2880"/>
          </w:tcPr>
          <w:p>
            <w:r>
              <w:t>agroforesterie</w:t>
            </w:r>
          </w:p>
        </w:tc>
        <w:tc>
          <w:tcPr>
            <w:tcW w:type="dxa" w:w="2880"/>
          </w:tcPr>
          <w:p>
            <w:r>
              <w:t>agroforestry</w:t>
            </w:r>
          </w:p>
        </w:tc>
        <w:tc>
          <w:tcPr>
            <w:tcW w:type="dxa" w:w="2880"/>
          </w:tcPr>
          <w:p>
            <w:r>
              <w:t>association arbres-cultures ; culture sous couvert arboré ; agrosylviculture</w:t>
            </w:r>
          </w:p>
        </w:tc>
      </w:tr>
      <w:tr>
        <w:tc>
          <w:tcPr>
            <w:tcW w:type="dxa" w:w="2880"/>
          </w:tcPr>
          <w:p>
            <w:r>
              <w:t>bandes fleuries</w:t>
            </w:r>
          </w:p>
        </w:tc>
        <w:tc>
          <w:tcPr>
            <w:tcW w:type="dxa" w:w="2880"/>
          </w:tcPr>
          <w:p>
            <w:r>
              <w:t>flower strips / insectary strips</w:t>
            </w:r>
          </w:p>
        </w:tc>
        <w:tc>
          <w:tcPr>
            <w:tcW w:type="dxa" w:w="2880"/>
          </w:tcPr>
          <w:p>
            <w:r>
              <w:t>jachères fleuries · bandes enherbées diversifiées ; zones de régulation écologique ; bandes mellifères ; réservoirs d'auxiliaires</w:t>
            </w:r>
          </w:p>
        </w:tc>
      </w:tr>
      <w:tr>
        <w:tc>
          <w:tcPr>
            <w:tcW w:type="dxa" w:w="2880"/>
          </w:tcPr>
          <w:p>
            <w:r>
              <w:t>bocage</w:t>
            </w:r>
          </w:p>
        </w:tc>
        <w:tc>
          <w:tcPr>
            <w:tcW w:type="dxa" w:w="2880"/>
          </w:tcPr>
          <w:p>
            <w:r>
              <w:t>bocage landscape</w:t>
            </w:r>
          </w:p>
        </w:tc>
        <w:tc>
          <w:tcPr>
            <w:tcW w:type="dxa" w:w="2880"/>
          </w:tcPr>
          <w:p>
            <w:r>
              <w:t>maillage bocager</w:t>
            </w:r>
          </w:p>
        </w:tc>
      </w:tr>
      <w:tr>
        <w:tc>
          <w:tcPr>
            <w:tcW w:type="dxa" w:w="2880"/>
          </w:tcPr>
          <w:p>
            <w:r>
              <w:t>corridor écologique</w:t>
            </w:r>
          </w:p>
        </w:tc>
        <w:tc>
          <w:tcPr>
            <w:tcW w:type="dxa" w:w="2880"/>
          </w:tcPr>
          <w:p>
            <w:r>
              <w:t>ecological corridor</w:t>
            </w:r>
          </w:p>
        </w:tc>
        <w:tc>
          <w:tcPr>
            <w:tcW w:type="dxa" w:w="2880"/>
          </w:tcPr>
          <w:p>
            <w:r>
              <w:t>trame verte ; zone de connectivité biologique ; passage biologique ; continuité écologique ; trame verte</w:t>
            </w:r>
          </w:p>
        </w:tc>
      </w:tr>
      <w:tr>
        <w:tc>
          <w:tcPr>
            <w:tcW w:type="dxa" w:w="2880"/>
          </w:tcPr>
          <w:p>
            <w:r>
              <w:t>design en courbes de niveau</w:t>
            </w:r>
          </w:p>
        </w:tc>
        <w:tc>
          <w:tcPr>
            <w:tcW w:type="dxa" w:w="2880"/>
          </w:tcPr>
          <w:p>
            <w:r>
              <w:t>Keyline Design</w:t>
            </w:r>
          </w:p>
        </w:tc>
        <w:tc>
          <w:tcPr>
            <w:tcW w:type="dxa" w:w="2880"/>
          </w:tcPr>
          <w:p>
            <w:r>
              <w:t>conception Yeomans ; aménagement en ligne clé ; gestion hydrique Keyline ; Keyline Design · Keyline ; aménagement en ligne clé ; conception Keyline</w:t>
            </w:r>
          </w:p>
        </w:tc>
      </w:tr>
      <w:tr>
        <w:tc>
          <w:tcPr>
            <w:tcW w:type="dxa" w:w="2880"/>
          </w:tcPr>
          <w:p>
            <w:r>
              <w:t>haie brise-vent</w:t>
            </w:r>
          </w:p>
        </w:tc>
        <w:tc>
          <w:tcPr>
            <w:tcW w:type="dxa" w:w="2880"/>
          </w:tcPr>
          <w:p>
            <w:r>
              <w:t>windbreak hedgerow</w:t>
            </w:r>
          </w:p>
        </w:tc>
        <w:tc>
          <w:tcPr>
            <w:tcW w:type="dxa" w:w="2880"/>
          </w:tcPr>
          <w:p>
            <w:r>
              <w:t>rideau végétal</w:t>
            </w:r>
          </w:p>
        </w:tc>
      </w:tr>
      <w:tr>
        <w:tc>
          <w:tcPr>
            <w:tcW w:type="dxa" w:w="2880"/>
          </w:tcPr>
          <w:p>
            <w:r>
              <w:t>haie multistrate</w:t>
            </w:r>
          </w:p>
        </w:tc>
        <w:tc>
          <w:tcPr>
            <w:tcW w:type="dxa" w:w="2880"/>
          </w:tcPr>
          <w:p>
            <w:r>
              <w:t>multi-layered hedgerow</w:t>
            </w:r>
          </w:p>
        </w:tc>
        <w:tc>
          <w:tcPr>
            <w:tcW w:type="dxa" w:w="2880"/>
          </w:tcPr>
          <w:p>
            <w:r>
              <w:t>haie étagée ; haie composite</w:t>
            </w:r>
          </w:p>
        </w:tc>
      </w:tr>
      <w:tr>
        <w:tc>
          <w:tcPr>
            <w:tcW w:type="dxa" w:w="2880"/>
          </w:tcPr>
          <w:p>
            <w:r>
              <w:t>haie vive</w:t>
            </w:r>
          </w:p>
        </w:tc>
        <w:tc>
          <w:tcPr>
            <w:tcW w:type="dxa" w:w="2880"/>
          </w:tcPr>
          <w:p>
            <w:r>
              <w:t>living hedge / hedgerow</w:t>
            </w:r>
          </w:p>
        </w:tc>
        <w:tc>
          <w:tcPr>
            <w:tcW w:type="dxa" w:w="2880"/>
          </w:tcPr>
          <w:p>
            <w:r>
              <w:t>haie champêtre ; clôture végétale ; brise-vent</w:t>
            </w:r>
          </w:p>
        </w:tc>
      </w:tr>
      <w:tr>
        <w:tc>
          <w:tcPr>
            <w:tcW w:type="dxa" w:w="2880"/>
          </w:tcPr>
          <w:p>
            <w:r>
              <w:t>haie vive multistrate</w:t>
            </w:r>
          </w:p>
        </w:tc>
        <w:tc>
          <w:tcPr>
            <w:tcW w:type="dxa" w:w="2880"/>
          </w:tcPr>
          <w:p>
            <w:r>
              <w:t>multi-layer hedgerow</w:t>
            </w:r>
          </w:p>
        </w:tc>
        <w:tc>
          <w:tcPr>
            <w:tcW w:type="dxa" w:w="2880"/>
          </w:tcPr>
          <w:p>
            <w:r/>
          </w:p>
        </w:tc>
      </w:tr>
      <w:tr>
        <w:tc>
          <w:tcPr>
            <w:tcW w:type="dxa" w:w="2880"/>
          </w:tcPr>
          <w:p>
            <w:r>
              <w:t>hydraulic lift</w:t>
            </w:r>
          </w:p>
        </w:tc>
        <w:tc>
          <w:tcPr>
            <w:tcW w:type="dxa" w:w="2880"/>
          </w:tcPr>
          <w:p>
            <w:r>
              <w:t>hydraulic lift</w:t>
            </w:r>
          </w:p>
        </w:tc>
        <w:tc>
          <w:tcPr>
            <w:tcW w:type="dxa" w:w="2880"/>
          </w:tcPr>
          <w:p>
            <w:r>
              <w:t>ascenseur hydraulique ; redistribution nocturne de l'eau</w:t>
            </w:r>
          </w:p>
        </w:tc>
      </w:tr>
      <w:tr>
        <w:tc>
          <w:tcPr>
            <w:tcW w:type="dxa" w:w="2880"/>
          </w:tcPr>
          <w:p>
            <w:r>
              <w:t>indice d'aire foliaire (LAI)</w:t>
            </w:r>
          </w:p>
        </w:tc>
        <w:tc>
          <w:tcPr>
            <w:tcW w:type="dxa" w:w="2880"/>
          </w:tcPr>
          <w:p>
            <w:r>
              <w:t>leaf area index (LAI)</w:t>
            </w:r>
          </w:p>
        </w:tc>
        <w:tc>
          <w:tcPr>
            <w:tcW w:type="dxa" w:w="2880"/>
          </w:tcPr>
          <w:p>
            <w:r>
              <w:t>LAI · indice foliaire</w:t>
            </w:r>
          </w:p>
        </w:tc>
      </w:tr>
      <w:tr>
        <w:tc>
          <w:tcPr>
            <w:tcW w:type="dxa" w:w="2880"/>
          </w:tcPr>
          <w:p>
            <w:r>
              <w:t>niche partitioning</w:t>
            </w:r>
          </w:p>
        </w:tc>
        <w:tc>
          <w:tcPr>
            <w:tcW w:type="dxa" w:w="2880"/>
          </w:tcPr>
          <w:p>
            <w:r>
              <w:t>niche partitioning</w:t>
            </w:r>
          </w:p>
        </w:tc>
        <w:tc>
          <w:tcPr>
            <w:tcW w:type="dxa" w:w="2880"/>
          </w:tcPr>
          <w:p>
            <w:r>
              <w:t>partage des ressources ; différenciation des niches ; complémentarité de niche ; partage des niches écologiques ; différenciation des niches</w:t>
            </w:r>
          </w:p>
        </w:tc>
      </w:tr>
      <w:tr>
        <w:tc>
          <w:tcPr>
            <w:tcW w:type="dxa" w:w="2880"/>
          </w:tcPr>
          <w:p>
            <w:r>
              <w:t>pont mycorhizien</w:t>
            </w:r>
          </w:p>
        </w:tc>
        <w:tc>
          <w:tcPr>
            <w:tcW w:type="dxa" w:w="2880"/>
          </w:tcPr>
          <w:p>
            <w:r>
              <w:t>mycorrhizal bridge</w:t>
            </w:r>
          </w:p>
        </w:tc>
        <w:tc>
          <w:tcPr>
            <w:tcW w:type="dxa" w:w="2880"/>
          </w:tcPr>
          <w:p>
            <w:r/>
          </w:p>
        </w:tc>
      </w:tr>
      <w:tr>
        <w:tc>
          <w:tcPr>
            <w:tcW w:type="dxa" w:w="2880"/>
          </w:tcPr>
          <w:p>
            <w:r>
              <w:t>pâturage tournant dynamique</w:t>
            </w:r>
          </w:p>
        </w:tc>
        <w:tc>
          <w:tcPr>
            <w:tcW w:type="dxa" w:w="2880"/>
          </w:tcPr>
          <w:p>
            <w:r>
              <w:t>adaptive multi-paddock (AMP) grazing</w:t>
            </w:r>
          </w:p>
        </w:tc>
        <w:tc>
          <w:tcPr>
            <w:tcW w:type="dxa" w:w="2880"/>
          </w:tcPr>
          <w:p>
            <w:r>
              <w:t>pâturage holiste · AMP grazing ; pâturage adaptatif ; gestion dynamique de l'herbe ; AMP grazing</w:t>
            </w:r>
          </w:p>
        </w:tc>
      </w:tr>
      <w:tr>
        <w:tc>
          <w:tcPr>
            <w:tcW w:type="dxa" w:w="2880"/>
          </w:tcPr>
          <w:p>
            <w:r>
              <w:t>remontée hydraulique</w:t>
            </w:r>
          </w:p>
        </w:tc>
        <w:tc>
          <w:tcPr>
            <w:tcW w:type="dxa" w:w="2880"/>
          </w:tcPr>
          <w:p>
            <w:r>
              <w:t>hydraulic lift (hydraulic redistribution)</w:t>
            </w:r>
          </w:p>
        </w:tc>
        <w:tc>
          <w:tcPr>
            <w:tcW w:type="dxa" w:w="2880"/>
          </w:tcPr>
          <w:p>
            <w:r>
              <w:t>redistribution hydraulique ; transfert d'eau passif par les racines</w:t>
            </w:r>
          </w:p>
        </w:tc>
      </w:tr>
      <w:tr>
        <w:tc>
          <w:tcPr>
            <w:tcW w:type="dxa" w:w="2880"/>
          </w:tcPr>
          <w:p>
            <w:r>
              <w:t>succession écologique</w:t>
            </w:r>
          </w:p>
        </w:tc>
        <w:tc>
          <w:tcPr>
            <w:tcW w:type="dxa" w:w="2880"/>
          </w:tcPr>
          <w:p>
            <w:r>
              <w:t>ecological succession</w:t>
            </w:r>
          </w:p>
        </w:tc>
        <w:tc>
          <w:tcPr>
            <w:tcW w:type="dxa" w:w="2880"/>
          </w:tcPr>
          <w:p>
            <w:r>
              <w:t>succession végétale · succession biologique ; dynamique de la végétation</w:t>
            </w:r>
          </w:p>
        </w:tc>
      </w:tr>
      <w:tr>
        <w:tc>
          <w:tcPr>
            <w:tcW w:type="dxa" w:w="2880"/>
          </w:tcPr>
          <w:p>
            <w:r>
              <w:t>système silvopastoral</w:t>
            </w:r>
          </w:p>
        </w:tc>
        <w:tc>
          <w:tcPr>
            <w:tcW w:type="dxa" w:w="2880"/>
          </w:tcPr>
          <w:p>
            <w:r>
              <w:t>silvopastoral system</w:t>
            </w:r>
          </w:p>
        </w:tc>
        <w:tc>
          <w:tcPr>
            <w:tcW w:type="dxa" w:w="2880"/>
          </w:tcPr>
          <w:p>
            <w:r>
              <w:t>sylvopastoralisme ; agroforesterie d'élevage ; pâturage sous bois</w:t>
            </w:r>
          </w:p>
        </w:tc>
      </w:tr>
      <w:tr>
        <w:tc>
          <w:tcPr>
            <w:tcW w:type="dxa" w:w="2880"/>
          </w:tcPr>
          <w:p>
            <w:r>
              <w:t>séquence ERC</w:t>
            </w:r>
          </w:p>
        </w:tc>
        <w:tc>
          <w:tcPr>
            <w:tcW w:type="dxa" w:w="2880"/>
          </w:tcPr>
          <w:p>
            <w:r>
              <w:t>avoid-reduce-compensate sequence</w:t>
            </w:r>
          </w:p>
        </w:tc>
        <w:tc>
          <w:tcPr>
            <w:tcW w:type="dxa" w:w="2880"/>
          </w:tcPr>
          <w:p>
            <w:r>
              <w:t>doctrine Éviter-Réduire-Compenser</w:t>
            </w:r>
          </w:p>
        </w:tc>
      </w:tr>
      <w:tr>
        <w:tc>
          <w:tcPr>
            <w:tcW w:type="dxa" w:w="2880"/>
          </w:tcPr>
          <w:p>
            <w:r>
              <w:t>trognes</w:t>
            </w:r>
          </w:p>
        </w:tc>
        <w:tc>
          <w:tcPr>
            <w:tcW w:type="dxa" w:w="2880"/>
          </w:tcPr>
          <w:p>
            <w:r>
              <w:t>pollarded trees</w:t>
            </w:r>
          </w:p>
        </w:tc>
        <w:tc>
          <w:tcPr>
            <w:tcW w:type="dxa" w:w="2880"/>
          </w:tcPr>
          <w:p>
            <w:r>
              <w:t>arbre têtard</w:t>
            </w:r>
          </w:p>
        </w:tc>
      </w:tr>
      <w:tr>
        <w:tc>
          <w:tcPr>
            <w:tcW w:type="dxa" w:w="2880"/>
          </w:tcPr>
          <w:p>
            <w:r>
              <w:t>vitiforesterie</w:t>
            </w:r>
          </w:p>
        </w:tc>
        <w:tc>
          <w:tcPr>
            <w:tcW w:type="dxa" w:w="2880"/>
          </w:tcPr>
          <w:p>
            <w:r>
              <w:t>vineyard agroforestry</w:t>
            </w:r>
          </w:p>
        </w:tc>
        <w:tc>
          <w:tcPr>
            <w:tcW w:type="dxa" w:w="2880"/>
          </w:tcPr>
          <w:p>
            <w:r>
              <w:t>agroforesterie viticole</w:t>
            </w:r>
          </w:p>
        </w:tc>
      </w:tr>
    </w:tbl>
    <w:p/>
    <w:p>
      <w:pPr>
        <w:jc w:val="center"/>
      </w:pPr>
      <w:r>
        <w:rPr>
          <w:color w:val="999999"/>
          <w:sz w:val="18"/>
        </w:rPr>
        <w:t>────────────────────────────────────────</w:t>
      </w:r>
    </w:p>
    <w:p>
      <w:pPr>
        <w:pStyle w:val="Heading1"/>
      </w:pPr>
      <w:r>
        <w:t>Introduction</w:t>
      </w:r>
    </w:p>
    <w:p>
      <w:r>
        <w:t>Le non-labour est nécessaire mais insuffisant. La combinaison ACS + couvert + diversité est la clé.</w:t>
      </w:r>
    </w:p>
    <w:p/>
    <w:p>
      <w:r>
        <w:t>→ La forêt comme modèle de robustesse ultime (Hamant) : zéro intrant, zéro irrigation, productivité millénaire. Elle produit sa propre ration du sol, gère son eau par CMN + hydraulic lift, construit son sol par bioturbation + humification fongique.</w:t>
        <w:br/>
        <w:t>→ L'agroforesterie = tentative de reproduire la logique forestière avec contrainte de production. L'arbre fournit le GÎTE (lignine → nécromasse fongique → structure), le couvert fournit le COUVERT (exsudats → énergie micro-organismes).</w:t>
        <w:br/>
        <w:t>→ Technodiversité (Hamant) : garder toutes les technologies robustes. Le Keyline Design (1954) n'est pas obsolète parce que le drone existe.</w:t>
      </w:r>
    </w:p>
    <w:p>
      <w:r>
        <w:t xml:space="preserve">§1 Introduction: Croisement de 2 fiches Triple Performance : 1. Agroforesterie — Systèmes intraparcellaires, bocage, prés-vergers, vitiforesterie. Réseaux mycorhiziens, fixation N2 (acacia), stratification racinaire, </w:t>
        <w:br/>
        <w:t>§2 Agroforesterie intraparcellaire : principes et conception: L'agroforesterie intraparcellaire combine arbres et cultures sur la même parcelle. Les arbres créent un réseau mycorhizien commun (CMN) avec les cultures adjacentes (cross-ref S3→P4), permettant le tr</w:t>
        <w:br/>
        <w:t xml:space="preserve">§3 Haies : morphologies et services rendus: 4 morphologies de haies avec services différenciés : 1. Haie dégradée : &lt; 2m, taillée annuellement, services minimaux 2. Haie arbustive : 2-5m, brise-vent partiel, nidification 3. Haie d'alignement : </w:t>
        <w:br/>
        <w:t xml:space="preserve">§4 Bocage et corridors écologiques: Le bocage fonctionne comme un réseau à l'échelle du paysage : - Connectivité : les haies relient les îlots de biodiversité (forêts, prairies, zones humides) - Mosaïque d'habitats : chaque linéaire de </w:t>
        <w:br/>
        <w:t>§5 Carbone et sol: Le contenu brut ne couvre PAS les données carbone/CMN — lacune majeure. Données à intégrer depuis le corpus : - Cross-ref P4→S4 : impact hydraulic lift sur conditions redox de surface - Cross-ref S3→P</w:t>
      </w:r>
    </w:p>
    <w:p>
      <w:pPr>
        <w:jc w:val="center"/>
      </w:pPr>
      <w:r>
        <w:rPr>
          <w:color w:val="999999"/>
          <w:sz w:val="18"/>
        </w:rPr>
        <w:t>────────────────────────────────────────</w:t>
      </w:r>
    </w:p>
    <w:p>
      <w:pPr>
        <w:pStyle w:val="Heading1"/>
      </w:pPr>
      <w:r>
        <w:t>I. Systèmes agroforestiers</w:t>
      </w:r>
    </w:p>
    <w:p>
      <w:pPr>
        <w:pStyle w:val="Heading2"/>
      </w:pPr>
      <w:r>
        <w:t>1.1 Systèmes sylvoarables et silvopastoraux</w:t>
      </w:r>
    </w:p>
    <w:p>
      <w:r>
        <w:t>Les systèmes sylvoarables (arbres + cultures) et silvopastoraux (arbres + élevage) sont les deux formes principales. Chiffres de développement en Europe et dans le monde.</w:t>
      </w:r>
    </w:p>
    <w:p/>
    <w:p>
      <w:r>
        <w:t>→ Systèmes sylvoarables : arbres + cultures annuelles dans la même parcelle. Réduction rendement de 0-15% compensée par les produits de l'arbre (bois, fruits) + les services écosystémiques (ombre, eau, biodiversité).</w:t>
        <w:br/>
        <w:t>→ Systèmes silvopastoraux : arbres + pâturage. L'ombre réduit le stress thermique animal (-2°C), l'arbre fournit des feuilles fourragères, les déjections animales nourrissent l'arbre. Boucle vertueuse.</w:t>
        <w:br/>
        <w:t>→ L'agroforesterie est le système qui se rapproche le PLUS du modèle forestier (la forêt comme modèle de robustesse ultime) tout en maintenant une production agricole. C'est le compromis optimal entre productivité et résilience.</w:t>
      </w:r>
    </w:p>
    <w:p>
      <w:pPr>
        <w:jc w:val="center"/>
      </w:pPr>
      <w:r>
        <w:rPr>
          <w:color w:val="999999"/>
          <w:sz w:val="18"/>
        </w:rPr>
        <w:t>────────────────────────────────────────</w:t>
      </w:r>
    </w:p>
    <w:p>
      <w:pPr>
        <w:pStyle w:val="Heading2"/>
      </w:pPr>
      <w:r>
        <w:t>1.2 Agriculture syntropic : succession vers la forêt-jardin</w:t>
      </w:r>
    </w:p>
    <w:p>
      <w:r>
        <w:t>L'agriculture syntropic (Ernst Götsch) mime la succession forestière pour créer des systèmes productifs : du pionnier à la forêt-jardin. Le design en courbes de niveau (Keyline) optimise la gestion de l'eau.</w:t>
      </w:r>
    </w:p>
    <w:p/>
    <w:p>
      <w:r>
        <w:t>→ L'agriculture syntropique (Ernst Götsch, Brésil) : la parcelle est conçue comme une SUCCESSION écologique accélérée. Pionnières → intermédiaires → climaciques, en 15-30 ans. L'objectif final : forêt-jardin productive.</w:t>
        <w:br/>
        <w:t>→ Principe syntropique : chaque plante a un rôle fonctionnel dans la succession. Les pionnières (bananier, manioc) fournissent de la biomasse qui nourrit le sol. Les intermédiaires (cacao, café) produisent le revenu. Les climaciques (arbres à bois) capitalisent.</w:t>
        <w:br/>
        <w:t>→ La syntropie imite la thermodynamique forestière : la forêt AUGMENTE sa complexité dans le temps (néguentropie). L'agriculture conventionnelle fait l'inverse (simplification → entropie). Götsch propose de renverser le sens.</w:t>
      </w:r>
    </w:p>
    <w:p>
      <w:pPr>
        <w:jc w:val="center"/>
      </w:pPr>
      <w:r>
        <w:rPr>
          <w:color w:val="999999"/>
          <w:sz w:val="18"/>
        </w:rPr>
        <w:t>────────────────────────────────────────</w:t>
      </w:r>
    </w:p>
    <w:p>
      <w:pPr>
        <w:pStyle w:val="Heading1"/>
      </w:pPr>
      <w:r>
        <w:t>II. Fonctionnement biologique</w:t>
      </w:r>
    </w:p>
    <w:p>
      <w:pPr>
        <w:pStyle w:val="Heading2"/>
      </w:pPr>
      <w:r>
        <w:t>2.1 Le CMN agroforestier : réseau de communication</w:t>
      </w:r>
    </w:p>
    <w:p>
      <w:r>
        <w:t>Le CMN agroforestier connecte arbres et cultures via les hyphes mycorhiziens. Les arbres fournissent du carbone aux champignons qui nourrissent les cultures. Lien avec le microbiome fongique (CMN agroforestier comme extension pratique des réseaux mycorhiziens).</w:t>
      </w:r>
    </w:p>
    <w:p/>
    <w:p>
      <w:r>
        <w:t>→ Le CMN en agroforesterie connecte les arbres (ECM ou CMA selon l'espèce) aux cultures annuelles (CMA). L'arbre redistribue eau (hydraulic lift) et nutriments (P, N) vers les cultures via ce réseau souterrain.</w:t>
        <w:br/>
        <w:t>→ Le CMN transmet aussi des signaux d'alerte : quand un arbre est attaqué par un pathogène, il envoie des signaux chimiques via le réseau mycorhizien qui déclenchent l'ISR chez les plantes voisines. Mémoire immunitaire collective.</w:t>
        <w:br/>
        <w:t>→ La distance optimale arbre-culture (8-15 m en tempéré) correspond à l'étendue du réseau mycorhizien de l'arbre. Trop près = compétition lumière/eau. Trop loin = pas de connexion mycorhizienne. Le CMN détermine le design spatial.</w:t>
      </w:r>
    </w:p>
    <w:p>
      <w:pPr>
        <w:jc w:val="center"/>
      </w:pPr>
      <w:r>
        <w:rPr>
          <w:color w:val="999999"/>
          <w:sz w:val="18"/>
        </w:rPr>
        <w:t>────────────────────────────────────────</w:t>
      </w:r>
    </w:p>
    <w:p>
      <w:pPr>
        <w:pStyle w:val="Heading2"/>
      </w:pPr>
      <w:r>
        <w:t>2.2 Hydraulic lift et redistribution hydrique</w:t>
      </w:r>
    </w:p>
    <w:p>
      <w:r>
        <w:t>La remontée hydraulique en agroforesterie : les arbres à racines profondes remontent l'eau nocturne qui bénéficie aux cultures de surface. C'est le service hydraulique majeur de l'arbre dans le système.</w:t>
      </w:r>
    </w:p>
    <w:p/>
    <w:p>
      <w:r>
        <w:t>→ Le hydraulic lift : les racines profondes de l'arbre (3-10 m) pompent l'eau des nappes et la relâchent la nuit dans les horizons superficiels. Les cultures voisines bénéficient de cette « irrigation biologique ».</w:t>
        <w:br/>
        <w:t>→ Quantification : 0.1-0.5 mm/nuit redistribués par hydraulic lift. Sur une saison sèche de 60 jours = 6-30 mm d'eau apportés gratuitement. En sol sableux (faible RU), c'est la différence entre survie et mort des cultures.</w:t>
        <w:br/>
        <w:t>→ Le hydraulic lift ne fonctionne que si l'arbre a accès à l'eau profonde (nappe ou horizon humide) ET si le sol superficiel est sec (gradient de potentiel hydrique). En sol engorgé, le mécanisme s'inverse (hydraulic descent).</w:t>
      </w:r>
    </w:p>
    <w:p>
      <w:pPr>
        <w:jc w:val="center"/>
      </w:pPr>
      <w:r>
        <w:rPr>
          <w:color w:val="999999"/>
          <w:sz w:val="18"/>
        </w:rPr>
        <w:t>────────────────────────────────────────</w:t>
      </w:r>
    </w:p>
    <w:p>
      <w:pPr>
        <w:pStyle w:val="Heading2"/>
      </w:pPr>
      <w:r>
        <w:t>2.3 La voie oxalate-carbonate en agroforesterie</w:t>
      </w:r>
    </w:p>
    <w:p>
      <w:r>
        <w:t>La voie oxalate-carbonate en agroforesterie : les champignons produisent de l'oxalate qui dissout les silicates et précipite le carbone en CaCO3. C'est une séquestration géologique couplée à la fertilisation. Lien avec les grands cycles.</w:t>
      </w:r>
    </w:p>
    <w:p/>
    <w:p>
      <w:r>
        <w:t>→ La voie oxalate-carbonate (OCP) : les champignons ECM des arbres sécrètent de l'oxalate → les bactéries oxalotrophes l'oxydent → production de CaCO₃ biogénique. C'est une séquestration INORGANIQUE de carbone, quasi permanente (&gt;10 000 ans).</w:t>
        <w:br/>
        <w:t>→ En agroforesterie, l'OCP fonctionne en profondeur (30-100 cm) là où les racines d'arbres + ECM sont actifs. Elle crée une réserve calcique qui tamponise le pH et enrichit le sous-sol en carbonates.</w:t>
        <w:br/>
        <w:t>→ Potentiel : 0.5-2 tCO₂/ha/an dans les systèmes agroforestiers tropicaux (cacao, café sous ombrage). En tempéré, les données sont rares mais le mécanisme est identique. Les essences à forte production d'oxalate (chêne, hêtre, noyer) sont les meilleures candidates.</w:t>
      </w:r>
    </w:p>
    <w:p>
      <w:pPr>
        <w:jc w:val="center"/>
      </w:pPr>
      <w:r>
        <w:rPr>
          <w:color w:val="999999"/>
          <w:sz w:val="18"/>
        </w:rPr>
        <w:t>────────────────────────────────────────</w:t>
      </w:r>
    </w:p>
    <w:p>
      <w:pPr>
        <w:pStyle w:val="Heading1"/>
      </w:pPr>
      <w:r>
        <w:t>III. Conception</w:t>
      </w:r>
    </w:p>
    <w:p>
      <w:pPr>
        <w:pStyle w:val="Heading2"/>
      </w:pPr>
      <w:r>
        <w:t>3.1 Espèces clés pour l'agroforesterie tempérée</w:t>
      </w:r>
    </w:p>
    <w:p>
      <w:r>
        <w:t>Les espèces clés pour l'agroforesterie tempérée : noyer, aulne (fixateur N), saule (remontée hydraulique), fruitiers à haute tige. Critères de choix : enracinement, ombrage, production.</w:t>
      </w:r>
    </w:p>
    <w:p/>
    <w:p>
      <w:r>
        <w:t>→ Espèces clés tempérées : noyer (Juglans regia, bois + fruit, CMA), chêne (Quercus, bois + mycobiome ECM riche), aulne (Alnus, fixation N symbiotique avec Frankia, 50-300 kg N/ha/an), tilleul (mellifère + litière riche).</w:t>
        <w:br/>
        <w:t>→ L'aulne est l'arbre MIRACLE de l'agroforesterie : fixation N via Frankia (actinomycète) + litière riche en N (C:N 15) + racines superficielles (pas de compétition avec les cultures) + croissance rapide (bois de chauffage en 15 ans).</w:t>
        <w:br/>
        <w:t>→ Le design multi-strates : arbre de canopée (noyer, chêne) + arbre intermédiaire (aulne, saule) + arbuste (noisetier, sureau) + couvert herbacé (trèfle, luzerne). Chaque couche exploite un horizon lumineux et racinaire différent.</w:t>
      </w:r>
    </w:p>
    <w:p>
      <w:pPr>
        <w:jc w:val="center"/>
      </w:pPr>
      <w:r>
        <w:rPr>
          <w:color w:val="999999"/>
          <w:sz w:val="18"/>
        </w:rPr>
        <w:t>────────────────────────────────────────</w:t>
      </w:r>
    </w:p>
    <w:p>
      <w:pPr>
        <w:pStyle w:val="Heading2"/>
      </w:pPr>
      <w:r>
        <w:t>4.1 Conception et mise en oeuvre</w:t>
      </w:r>
    </w:p>
    <w:p>
      <w:r>
        <w:t>La conception d'un système agroforestier : orientation des rangées, espacements, gestion de la lumière, intégration des couverts permanents.</w:t>
      </w:r>
    </w:p>
    <w:p/>
    <w:p>
      <w:r>
        <w:t>→ Conception : (1) orientation des lignes (est-ouest en tempéré pour maximiser la lumière) (2) espacement (8-15 m entre lignes en sylvoarable) (3) choix d'espèces (complémentarité racinaire + temporelle) (4) protection jeunes arbres (manchons, paillage).</w:t>
        <w:br/>
        <w:t>→ Le Keyline Design (P.A. Yeomans, 1954) intègre la topographie dans le design agroforestier : les lignes d'arbres suivent les courbes de niveau pour redistribuer l'eau des crêtes vers les vallées. L'arbre + le relief = gestion hydrique passive.</w:t>
        <w:br/>
        <w:t>→ Erreur courante : planter des arbres sans modifier les pratiques au sol. L'agroforesterie fonctionne avec non-labour + couvert permanent + couverts multi-espèces. Arbre + labour = l'arbre souffre (racines coupées, mycorhizes détruites).</w:t>
      </w:r>
    </w:p>
    <w:p>
      <w:pPr>
        <w:jc w:val="center"/>
      </w:pPr>
      <w:r>
        <w:rPr>
          <w:color w:val="999999"/>
          <w:sz w:val="18"/>
        </w:rPr>
        <w:t>────────────────────────────────────────</w:t>
      </w:r>
    </w:p>
    <w:p>
      <w:pPr>
        <w:pStyle w:val="Heading1"/>
      </w:pPr>
      <w:r>
        <w:t>V. Économie</w:t>
      </w:r>
    </w:p>
    <w:p>
      <w:pPr>
        <w:pStyle w:val="Heading2"/>
      </w:pPr>
      <w:r>
        <w:t>5.1 Économie et services écosystémiques</w:t>
      </w:r>
    </w:p>
    <w:p>
      <w:r>
        <w:t>L'économie de l'agroforesterie : services écosystémiques non marchands (carbone, biodiversité, eau) + production (bois, fruits, fourrage). Les PSE (paiements pour services écosystémiques).</w:t>
      </w:r>
    </w:p>
    <w:p/>
    <w:p>
      <w:r>
        <w:t>→ Économie : l'agroforesterie est rentable à 10-15 ans (délai de production de l'arbre) mais génère des services valorisables immédiatement : crédits carbone (30-100 €/tCO₂), biodiversité (PAC éco-régimes), réduction intrants (-30-50%).</w:t>
        <w:br/>
        <w:t>→ Les services écosystémiques non marchands : habitat faune auxiliaire (régulation ravageurs), pollinisation, régulation thermique (ombre), réduction érosion, filtration eau. Valeur estimée : 2000-5000 €/ha/an selon les méthodes.</w:t>
        <w:br/>
        <w:t>→ Le retour sur investissement en tempéré : coût d'installation 3000-8000 €/ha. Revenus bois à 25-40 ans : 15 000-40 000 €/ha (noyer, chêne). Revenus fruits dès 5-8 ans. Le rendement financier à 30 ans dépasse celui des grandes cultures.</w:t>
      </w:r>
    </w:p>
    <w:p>
      <w:pPr>
        <w:jc w:val="center"/>
      </w:pPr>
      <w:r>
        <w:rPr>
          <w:color w:val="999999"/>
          <w:sz w:val="18"/>
        </w:rPr>
        <w:t>────────────────────────────────────────</w:t>
      </w:r>
    </w:p>
    <w:p>
      <w:pPr>
        <w:pStyle w:val="Heading1"/>
      </w:pPr>
      <w:r>
        <w:t>Conclusion</w:t>
      </w:r>
    </w:p>
    <w:p>
      <w:r>
        <w:t>Ce document couvre 8 sections organisées autour de 4 chapitres : I. Systèmes agroforestiers, II. Fonctionnement biologique, III. Conception, V. Économie. La conclusion doit synthétiser les mécanismes clés et ouvrir sur les perspectives pratiques ou scientifiques.</w:t>
      </w:r>
    </w:p>
    <w:p>
      <w:r>
        <w:rPr>
          <w:i/>
          <w:color w:val="707070"/>
        </w:rPr>
        <w:t>L'arbre est le pilier oublié de l'agriculture. Synthétiser : l'arbre structure le sol, connecte le réseau mycorhizien, remonte l'eau, séquestre le carbone, et produit. L'agroforesterie est le système le plus complet.</w:t>
      </w:r>
    </w:p>
    <w:p>
      <w:r>
        <w:br w:type="page"/>
      </w:r>
    </w:p>
    <w:p>
      <w:pPr>
        <w:pStyle w:val="Heading1"/>
      </w:pPr>
      <w:r>
        <w:t>Annexes</w:t>
      </w:r>
    </w:p>
    <w:p>
      <w:pPr>
        <w:pStyle w:val="Heading2"/>
      </w:pPr>
      <w:r>
        <w:t>Renvois inter-documents (5)</w:t>
      </w:r>
    </w:p>
    <w:p>
      <w:r>
        <w:t>→ document · Voir F1 §III : L'agroforesterie comme accélérateur de la succession écologique du sol</w:t>
      </w:r>
    </w:p>
    <w:p>
      <w:r>
        <w:t>→ document · Voir S0 : remontée hydraulique et résilience hydrique</w:t>
      </w:r>
    </w:p>
    <w:p>
      <w:r>
        <w:t>→ II · Voir S1 : L'hydraulic lift comme mécanisme de prévention de l'hystérésis hydrique en surface</w:t>
      </w:r>
    </w:p>
    <w:p>
      <w:r>
        <w:t>→ document · Voir S4 §II : Impact de l'hydraulic lift sur les conditions redox de surface</w:t>
      </w:r>
    </w:p>
    <w:p>
      <w:r>
        <w:t>→ document · Voir V2 §V : L'arbre comme réservoir permanent d'hologénome pour les cultures annuelles adjacentes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