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Transition — Chronoséquence et capital biologique</w:t>
      </w:r>
    </w:p>
    <w:p>
      <w:pPr>
        <w:pStyle w:val="Heading1"/>
      </w:pPr>
      <w:r>
        <w:t>Termes canoniques (30)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</w:t>
            </w:r>
          </w:p>
        </w:tc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Synonymes FR</w:t>
            </w:r>
          </w:p>
        </w:tc>
      </w:tr>
      <w:tr>
        <w:tc>
          <w:tcPr>
            <w:tcW w:type="dxa" w:w="2880"/>
          </w:tcPr>
          <w:p>
            <w:r>
              <w:t>JMS (JADAM Microbial Solution)</w:t>
            </w:r>
          </w:p>
        </w:tc>
        <w:tc>
          <w:tcPr>
            <w:tcW w:type="dxa" w:w="2880"/>
          </w:tcPr>
          <w:p>
            <w:r>
              <w:t>JADAM microbial solution (JMS)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JWA (JADAM Wetting Agent)</w:t>
            </w:r>
          </w:p>
        </w:tc>
        <w:tc>
          <w:tcPr>
            <w:tcW w:type="dxa" w:w="2880"/>
          </w:tcPr>
          <w:p>
            <w:r>
              <w:t>JADAM wetting agent (JWA)</w:t>
            </w:r>
          </w:p>
        </w:tc>
        <w:tc>
          <w:tcPr>
            <w:tcW w:type="dxa" w:w="2880"/>
          </w:tcPr>
          <w:p>
            <w:r>
              <w:t>agent mouillant JADAM</w:t>
            </w:r>
          </w:p>
        </w:tc>
      </w:tr>
      <w:tr>
        <w:tc>
          <w:tcPr>
            <w:tcW w:type="dxa" w:w="2880"/>
          </w:tcPr>
          <w:p>
            <w:r>
              <w:t>Jeevamrit</w:t>
            </w:r>
          </w:p>
        </w:tc>
        <w:tc>
          <w:tcPr>
            <w:tcW w:type="dxa" w:w="2880"/>
          </w:tcPr>
          <w:p>
            <w:r>
              <w:t>Jeevamrit</w:t>
            </w:r>
          </w:p>
        </w:tc>
        <w:tc>
          <w:tcPr>
            <w:tcW w:type="dxa" w:w="2880"/>
          </w:tcPr>
          <w:p>
            <w:r>
              <w:t>eau de vie microbienne ; Jivamrut ; thé de bouse fermenté</w:t>
            </w:r>
          </w:p>
        </w:tc>
      </w:tr>
      <w:tr>
        <w:tc>
          <w:tcPr>
            <w:tcW w:type="dxa" w:w="2880"/>
          </w:tcPr>
          <w:p>
            <w:r>
              <w:t>Label Bas Carbone</w:t>
            </w:r>
          </w:p>
        </w:tc>
        <w:tc>
          <w:tcPr>
            <w:tcW w:type="dxa" w:w="2880"/>
          </w:tcPr>
          <w:p>
            <w:r>
              <w:t>Low Carbon Label (France)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 (Politique Agricole Commune)</w:t>
            </w:r>
          </w:p>
        </w:tc>
        <w:tc>
          <w:tcPr>
            <w:tcW w:type="dxa" w:w="2880"/>
          </w:tcPr>
          <w:p>
            <w:r>
              <w:t>CAP (Common Agricultural Policy)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SCFA</w:t>
            </w:r>
          </w:p>
        </w:tc>
        <w:tc>
          <w:tcPr>
            <w:tcW w:type="dxa" w:w="2880"/>
          </w:tcPr>
          <w:p>
            <w:r>
              <w:t>Short-Chain Fatty Acids</w:t>
            </w:r>
          </w:p>
        </w:tc>
        <w:tc>
          <w:tcPr>
            <w:tcW w:type="dxa" w:w="2880"/>
          </w:tcPr>
          <w:p>
            <w:r>
              <w:t>AGCC ; métabolites de fermentation des fibres ; butyrate, propionate et acétate ; AGCC ; Acides Gras à Chaîne Courte</w:t>
            </w:r>
          </w:p>
        </w:tc>
      </w:tr>
      <w:tr>
        <w:tc>
          <w:tcPr>
            <w:tcW w:type="dxa" w:w="2880"/>
          </w:tcPr>
          <w:p>
            <w:r>
              <w:t>agriculture syntropique</w:t>
            </w:r>
          </w:p>
        </w:tc>
        <w:tc>
          <w:tcPr>
            <w:tcW w:type="dxa" w:w="2880"/>
          </w:tcPr>
          <w:p>
            <w:r>
              <w:t>syntropic agriculture</w:t>
            </w:r>
          </w:p>
        </w:tc>
        <w:tc>
          <w:tcPr>
            <w:tcW w:type="dxa" w:w="2880"/>
          </w:tcPr>
          <w:p>
            <w:r>
              <w:t>méthode Götsch ; agroforesterie de succession intensive ; agriculture de processus</w:t>
            </w:r>
          </w:p>
        </w:tc>
      </w:tr>
      <w:tr>
        <w:tc>
          <w:tcPr>
            <w:tcW w:type="dxa" w:w="2880"/>
          </w:tcPr>
          <w:p>
            <w:r>
              <w:t>agrorecyclerie</w:t>
            </w:r>
          </w:p>
        </w:tc>
        <w:tc>
          <w:tcPr>
            <w:tcW w:type="dxa" w:w="2880"/>
          </w:tcPr>
          <w:p>
            <w:r>
              <w:t>agro-recycling</w:t>
            </w:r>
          </w:p>
        </w:tc>
        <w:tc>
          <w:tcPr>
            <w:tcW w:type="dxa" w:w="2880"/>
          </w:tcPr>
          <w:p>
            <w:r>
              <w:t>recyclage à la ferme ; boucle de matière locale ; valorisation des résidus</w:t>
            </w:r>
          </w:p>
        </w:tc>
      </w:tr>
      <w:tr>
        <w:tc>
          <w:tcPr>
            <w:tcW w:type="dxa" w:w="2880"/>
          </w:tcPr>
          <w:p>
            <w:r>
              <w:t>auto-fertilité</w:t>
            </w:r>
          </w:p>
        </w:tc>
        <w:tc>
          <w:tcPr>
            <w:tcW w:type="dxa" w:w="2880"/>
          </w:tcPr>
          <w:p>
            <w:r>
              <w:t>self-fertility</w:t>
            </w:r>
          </w:p>
        </w:tc>
        <w:tc>
          <w:tcPr>
            <w:tcW w:type="dxa" w:w="2880"/>
          </w:tcPr>
          <w:p>
            <w:r>
              <w:t>autonomie en fertilité ; fertilité intrinsèque ; système auto-fertile</w:t>
            </w:r>
          </w:p>
        </w:tc>
      </w:tr>
      <w:tr>
        <w:tc>
          <w:tcPr>
            <w:tcW w:type="dxa" w:w="2880"/>
          </w:tcPr>
          <w:p>
            <w:r>
              <w:t>carbon farming</w:t>
            </w:r>
          </w:p>
        </w:tc>
        <w:tc>
          <w:tcPr>
            <w:tcW w:type="dxa" w:w="2880"/>
          </w:tcPr>
          <w:p>
            <w:r>
              <w:t>carbon farming</w:t>
            </w:r>
          </w:p>
        </w:tc>
        <w:tc>
          <w:tcPr>
            <w:tcW w:type="dxa" w:w="2880"/>
          </w:tcPr>
          <w:p>
            <w:r>
              <w:t>agriculture carbone ; séquestration de carbone agricole ; agriculture du carbone</w:t>
            </w:r>
          </w:p>
        </w:tc>
      </w:tr>
      <w:tr>
        <w:tc>
          <w:tcPr>
            <w:tcW w:type="dxa" w:w="2880"/>
          </w:tcPr>
          <w:p>
            <w:r>
              <w:t>chronosequence de regeneration</w:t>
            </w:r>
          </w:p>
        </w:tc>
        <w:tc>
          <w:tcPr>
            <w:tcW w:type="dxa" w:w="2880"/>
          </w:tcPr>
          <w:p>
            <w:r>
              <w:t>regeneration chronosequence</w:t>
            </w:r>
          </w:p>
        </w:tc>
        <w:tc>
          <w:tcPr>
            <w:tcW w:type="dxa" w:w="2880"/>
          </w:tcPr>
          <w:p>
            <w:r>
              <w:t>trajectoire de restauration du sol ; chronoséquence de pédogenèse anthropique</w:t>
            </w:r>
          </w:p>
        </w:tc>
      </w:tr>
      <w:tr>
        <w:tc>
          <w:tcPr>
            <w:tcW w:type="dxa" w:w="2880"/>
          </w:tcPr>
          <w:p>
            <w:r>
              <w:t>chronoséquence de transition</w:t>
            </w:r>
          </w:p>
        </w:tc>
        <w:tc>
          <w:tcPr>
            <w:tcW w:type="dxa" w:w="2880"/>
          </w:tcPr>
          <w:p>
            <w:r>
              <w:t>transition chronosequence</w:t>
            </w:r>
          </w:p>
        </w:tc>
        <w:tc>
          <w:tcPr>
            <w:tcW w:type="dxa" w:w="2880"/>
          </w:tcPr>
          <w:p>
            <w:r>
              <w:t>trajectoire de conversion ; chronoséquence de pédogenèse anthropique ; étapes de transition ; série de transition agroécologique</w:t>
            </w:r>
          </w:p>
        </w:tc>
      </w:tr>
      <w:tr>
        <w:tc>
          <w:tcPr>
            <w:tcW w:type="dxa" w:w="2880"/>
          </w:tcPr>
          <w:p>
            <w:r>
              <w:t>cultures de services</w:t>
            </w:r>
          </w:p>
        </w:tc>
        <w:tc>
          <w:tcPr>
            <w:tcW w:type="dxa" w:w="2880"/>
          </w:tcPr>
          <w:p>
            <w:r>
              <w:t>service crops</w:t>
            </w:r>
          </w:p>
        </w:tc>
        <w:tc>
          <w:tcPr>
            <w:tcW w:type="dxa" w:w="2880"/>
          </w:tcPr>
          <w:p>
            <w:r>
              <w:t>CIPAN (cultures intermédiaires pièges à nitrates)</w:t>
            </w:r>
          </w:p>
        </w:tc>
      </w:tr>
      <w:tr>
        <w:tc>
          <w:tcPr>
            <w:tcW w:type="dxa" w:w="2880"/>
          </w:tcPr>
          <w:p>
            <w:r>
              <w:t>enrichissement de surface</w:t>
            </w:r>
          </w:p>
        </w:tc>
        <w:tc>
          <w:tcPr>
            <w:tcW w:type="dxa" w:w="2880"/>
          </w:tcPr>
          <w:p>
            <w:r>
              <w:t>surface amendment</w:t>
            </w:r>
          </w:p>
        </w:tc>
        <w:tc>
          <w:tcPr>
            <w:tcW w:type="dxa" w:w="2880"/>
          </w:tcPr>
          <w:p>
            <w:r>
              <w:t>amendement superficiel ; restitution en surface ; mulch actif</w:t>
            </w:r>
          </w:p>
        </w:tc>
      </w:tr>
      <w:tr>
        <w:tc>
          <w:tcPr>
            <w:tcW w:type="dxa" w:w="2880"/>
          </w:tcPr>
          <w:p>
            <w:r>
              <w:t>enrobage de semences biologique</w:t>
            </w:r>
          </w:p>
        </w:tc>
        <w:tc>
          <w:tcPr>
            <w:tcW w:type="dxa" w:w="2880"/>
          </w:tcPr>
          <w:p>
            <w:r>
              <w:t>biological seed coating</w:t>
            </w:r>
          </w:p>
        </w:tc>
        <w:tc>
          <w:tcPr>
            <w:tcW w:type="dxa" w:w="2880"/>
          </w:tcPr>
          <w:p>
            <w:r>
              <w:t>pelliculage biologique ; pelliculage microbien ; coating biologique</w:t>
            </w:r>
          </w:p>
        </w:tc>
      </w:tr>
      <w:tr>
        <w:tc>
          <w:tcPr>
            <w:tcW w:type="dxa" w:w="2880"/>
          </w:tcPr>
          <w:p>
            <w:r>
              <w:t>fertigations biologiques</w:t>
            </w:r>
          </w:p>
        </w:tc>
        <w:tc>
          <w:tcPr>
            <w:tcW w:type="dxa" w:w="2880"/>
          </w:tcPr>
          <w:p>
            <w:r>
              <w:t>biological fertigation</w:t>
            </w:r>
          </w:p>
        </w:tc>
        <w:tc>
          <w:tcPr>
            <w:tcW w:type="dxa" w:w="2880"/>
          </w:tcPr>
          <w:p>
            <w:r>
              <w:t>fertigation organique ; irrigation fertilisante biologique</w:t>
            </w:r>
          </w:p>
        </w:tc>
      </w:tr>
      <w:tr>
        <w:tc>
          <w:tcPr>
            <w:tcW w:type="dxa" w:w="2880"/>
          </w:tcPr>
          <w:p>
            <w:r>
              <w:t>grelinette</w:t>
            </w:r>
          </w:p>
        </w:tc>
        <w:tc>
          <w:tcPr>
            <w:tcW w:type="dxa" w:w="2880"/>
          </w:tcPr>
          <w:p>
            <w:r>
              <w:t>broadfork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intrant massif</w:t>
            </w:r>
          </w:p>
        </w:tc>
        <w:tc>
          <w:tcPr>
            <w:tcW w:type="dxa" w:w="2880"/>
          </w:tcPr>
          <w:p>
            <w:r>
              <w:t>massive organic input</w:t>
            </w:r>
          </w:p>
        </w:tc>
        <w:tc>
          <w:tcPr>
            <w:tcW w:type="dxa" w:w="2880"/>
          </w:tcPr>
          <w:p>
            <w:r>
              <w:t>apport organique important ; dose de démarrage ; restitution massive de carbone</w:t>
            </w:r>
          </w:p>
        </w:tc>
      </w:tr>
      <w:tr>
        <w:tc>
          <w:tcPr>
            <w:tcW w:type="dxa" w:w="2880"/>
          </w:tcPr>
          <w:p>
            <w:r>
              <w:t>maraîchage biointensif</w:t>
            </w:r>
          </w:p>
        </w:tc>
        <w:tc>
          <w:tcPr>
            <w:tcW w:type="dxa" w:w="2880"/>
          </w:tcPr>
          <w:p>
            <w:r>
              <w:t>biointensive market gardening</w:t>
            </w:r>
          </w:p>
        </w:tc>
        <w:tc>
          <w:tcPr>
            <w:tcW w:type="dxa" w:w="2880"/>
          </w:tcPr>
          <w:p>
            <w:r>
              <w:t>maraîchage sur planches permanentes ; jardinage biointensif ; micro-maraîchage</w:t>
            </w:r>
          </w:p>
        </w:tc>
      </w:tr>
      <w:tr>
        <w:tc>
          <w:tcPr>
            <w:tcW w:type="dxa" w:w="2880"/>
          </w:tcPr>
          <w:p>
            <w:r>
              <w:t>occultation (bâchage)</w:t>
            </w:r>
          </w:p>
        </w:tc>
        <w:tc>
          <w:tcPr>
            <w:tcW w:type="dxa" w:w="2880"/>
          </w:tcPr>
          <w:p>
            <w:r>
              <w:t>occultation (tarping)</w:t>
            </w:r>
          </w:p>
        </w:tc>
        <w:tc>
          <w:tcPr>
            <w:tcW w:type="dxa" w:w="2880"/>
          </w:tcPr>
          <w:p>
            <w:r>
              <w:t>couverture plastique ; bâchage ; solarisation ; faux-semis</w:t>
            </w:r>
          </w:p>
        </w:tc>
      </w:tr>
      <w:tr>
        <w:tc>
          <w:tcPr>
            <w:tcW w:type="dxa" w:w="2880"/>
          </w:tcPr>
          <w:p>
            <w:r>
              <w:t>occultation longue durée</w:t>
            </w:r>
          </w:p>
        </w:tc>
        <w:tc>
          <w:tcPr>
            <w:tcW w:type="dxa" w:w="2880"/>
          </w:tcPr>
          <w:p>
            <w:r>
              <w:t>long-term tarping / occultation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phase de sevrage</w:t>
            </w:r>
          </w:p>
        </w:tc>
        <w:tc>
          <w:tcPr>
            <w:tcW w:type="dxa" w:w="2880"/>
          </w:tcPr>
          <w:p>
            <w:r>
              <w:t>weaning phase (transition)</w:t>
            </w:r>
          </w:p>
        </w:tc>
        <w:tc>
          <w:tcPr>
            <w:tcW w:type="dxa" w:w="2880"/>
          </w:tcPr>
          <w:p>
            <w:r>
              <w:t>phase de transition ; période d'adaptation ; sevrage des intrants</w:t>
            </w:r>
          </w:p>
        </w:tc>
      </w:tr>
      <w:tr>
        <w:tc>
          <w:tcPr>
            <w:tcW w:type="dxa" w:w="2880"/>
          </w:tcPr>
          <w:p>
            <w:r>
              <w:t>planche permanente</w:t>
            </w:r>
          </w:p>
        </w:tc>
        <w:tc>
          <w:tcPr>
            <w:tcW w:type="dxa" w:w="2880"/>
          </w:tcPr>
          <w:p>
            <w:r>
              <w:t>permanent raised bed</w:t>
            </w:r>
          </w:p>
        </w:tc>
        <w:tc>
          <w:tcPr>
            <w:tcW w:type="dxa" w:w="2880"/>
          </w:tcPr>
          <w:p>
            <w:r>
              <w:t>planche surélevée permanente ; planche de culture non labourée ; butte permanente</w:t>
            </w:r>
          </w:p>
        </w:tc>
      </w:tr>
      <w:tr>
        <w:tc>
          <w:tcPr>
            <w:tcW w:type="dxa" w:w="2880"/>
          </w:tcPr>
          <w:p>
            <w:r>
              <w:t>ratio C/Argile</w:t>
            </w:r>
          </w:p>
        </w:tc>
        <w:tc>
          <w:tcPr>
            <w:tcW w:type="dxa" w:w="2880"/>
          </w:tcPr>
          <w:p>
            <w:r>
              <w:t>carbon-to-clay ratio</w:t>
            </w:r>
          </w:p>
        </w:tc>
        <w:tc>
          <w:tcPr>
            <w:tcW w:type="dxa" w:w="2880"/>
          </w:tcPr>
          <w:p>
            <w:r>
              <w:t>Rapport carbone sur argile ; indice de protection organique</w:t>
            </w:r>
          </w:p>
        </w:tc>
      </w:tr>
      <w:tr>
        <w:tc>
          <w:tcPr>
            <w:tcW w:type="dxa" w:w="2880"/>
          </w:tcPr>
          <w:p>
            <w:r>
              <w:t>rotation et association</w:t>
            </w:r>
          </w:p>
        </w:tc>
        <w:tc>
          <w:tcPr>
            <w:tcW w:type="dxa" w:w="2880"/>
          </w:tcPr>
          <w:p>
            <w:r>
              <w:t>crop rotation and intercropping</w:t>
            </w:r>
          </w:p>
        </w:tc>
        <w:tc>
          <w:tcPr>
            <w:tcW w:type="dxa" w:w="2880"/>
          </w:tcPr>
          <w:p>
            <w:r>
              <w:t>assolement ; rotation des cultures ; association culturale ; polyculture</w:t>
            </w:r>
          </w:p>
        </w:tc>
      </w:tr>
      <w:tr>
        <w:tc>
          <w:tcPr>
            <w:tcW w:type="dxa" w:w="2880"/>
          </w:tcPr>
          <w:p>
            <w:r>
              <w:t>rotation sur prairie (MSV)</w:t>
            </w:r>
          </w:p>
        </w:tc>
        <w:tc>
          <w:tcPr>
            <w:tcW w:type="dxa" w:w="2880"/>
          </w:tcPr>
          <w:p>
            <w:r>
              <w:t>prairie rotation (MSV)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régénération des sols</w:t>
            </w:r>
          </w:p>
        </w:tc>
        <w:tc>
          <w:tcPr>
            <w:tcW w:type="dxa" w:w="2880"/>
          </w:tcPr>
          <w:p>
            <w:r>
              <w:t>soil regeneration</w:t>
            </w:r>
          </w:p>
        </w:tc>
        <w:tc>
          <w:tcPr>
            <w:tcW w:type="dxa" w:w="2880"/>
          </w:tcPr>
          <w:p>
            <w:r>
              <w:t>restauration édaphique</w:t>
            </w:r>
          </w:p>
        </w:tc>
      </w:tr>
      <w:tr>
        <w:tc>
          <w:tcPr>
            <w:tcW w:type="dxa" w:w="2880"/>
          </w:tcPr>
          <w:p>
            <w:r>
              <w:t>résilience climatique</w:t>
            </w:r>
          </w:p>
        </w:tc>
        <w:tc>
          <w:tcPr>
            <w:tcW w:type="dxa" w:w="2880"/>
          </w:tcPr>
          <w:p>
            <w:r>
              <w:t>climate resilience</w:t>
            </w:r>
          </w:p>
        </w:tc>
        <w:tc>
          <w:tcPr>
            <w:tcW w:type="dxa" w:w="2880"/>
          </w:tcPr>
          <w:p>
            <w:r>
              <w:t>adaptation climatique systémique</w:t>
            </w:r>
          </w:p>
        </w:tc>
      </w:tr>
      <w:tr>
        <w:tc>
          <w:tcPr>
            <w:tcW w:type="dxa" w:w="2880"/>
          </w:tcPr>
          <w:p>
            <w:r>
              <w:t>thés de compost oxygénés</w:t>
            </w:r>
          </w:p>
        </w:tc>
        <w:tc>
          <w:tcPr>
            <w:tcW w:type="dxa" w:w="2880"/>
          </w:tcPr>
          <w:p>
            <w:r>
              <w:t>aerated compost tea (ACT)</w:t>
            </w:r>
          </w:p>
        </w:tc>
        <w:tc>
          <w:tcPr>
            <w:tcW w:type="dxa" w:w="2880"/>
          </w:tcPr>
          <w:p>
            <w:r>
              <w:t>ACT · extrait de compost aéré ; extraits de compost aérés ; TCO ; jus de compost</w:t>
            </w:r>
          </w:p>
        </w:tc>
      </w:tr>
      <w:tr>
        <w:tc>
          <w:tcPr>
            <w:tcW w:type="dxa" w:w="2880"/>
          </w:tcPr>
          <w:p>
            <w:r>
              <w:t>économie de la fonctionnalité</w:t>
            </w:r>
          </w:p>
        </w:tc>
        <w:tc>
          <w:tcPr>
            <w:tcW w:type="dxa" w:w="2880"/>
          </w:tcPr>
          <w:p>
            <w:r>
              <w:t>economy of functionality</w:t>
            </w:r>
          </w:p>
        </w:tc>
        <w:tc>
          <w:tcPr>
            <w:tcW w:type="dxa" w:w="2880"/>
          </w:tcPr>
          <w:p>
            <w:r>
              <w:t>économie de service ; économie de l'usage ; modèle fonctionnel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Introduction</w:t>
      </w:r>
    </w:p>
    <w:p>
      <w:r>
        <w:t>L'arbre dans la parcelle n'est pas un obstacle — il est un accélérateur de cycles biologiques.</w:t>
      </w:r>
    </w:p>
    <w:p/>
    <w:p>
      <w:r>
        <w:t>→ Le faux plat du rendement (Husson, Zone 2) N'EST PAS un échec : les micro-organismes Y captent N,P,S pour construire l'humus AVANT la plante. Gain C proportionnel à baisse rendement. Levier : foliaire pour nourrir la plante sans alimenter la compétition au sol.</w:t>
        <w:br/>
        <w:t>→ Concentrer la biomasse pour passer les seuils : zaï burkinabé, planches permanentes, fosse de couche chaude = même logique à 3 échelles.</w:t>
        <w:br/>
        <w:t>→ Agrorecyclerie (Cagnolle) : MO 1.4%→9% en 10 ans avec balayures scierie + broyats déchetterie. 90% sans irrigation après 14 ans. Preuve que la trajectoire est possible.</w:t>
        <w:br/>
        <w:t>→ La ration du sol : l'apport carboné annuel en surface qui entretient le réseau fongique pourvoyeur d'eau, de nutriments et de défense. Le salaire des pourvoyeurs d'eau.</w:t>
        <w:br/>
        <w:t>→ Deux stratégies : intrant massif (50-400t, Zone 4) vs douce (20-50t, Zone 3).</w:t>
        <w:br/>
        <w:t>→ Rotation prairie MSV (2ans+1an bâche+1an paille).</w:t>
        <w:br/>
        <w:t>→ 5cm BRF=+1%MO (K1=50%). Légume ~1t vs 20t nécessaire.</w:t>
      </w:r>
    </w:p>
    <w:p>
      <w:r>
        <w:t>§1 Introduction: Le Korean Natural Farming (KNF) et le JADAM sont deux systèmes d'agriculture biologique développés en Corée du Sud, fondés sur la collecte et la multiplication de micro-organismes indigènes (IMO) et l</w:t>
        <w:br/>
        <w:t>§2 IMO : collecte et multiplication des micro-organismes indigènes: Le protocole IMO du KNF comporte 5 étapes de multiplication : IMO1 (collecte sur riz cuit en litière forestière), IMO2 (mélange avec sucre brun), IMO3 (expansion sur son de riz), IMO4 (mélange avec te</w:t>
        <w:br/>
        <w:t>§3 Préparations KNF : FPJ, FAA, OHN, BRV: Le KNF utilise plusieurs préparations spécialisées : FPJ (Fermented Plant Juice) : jus de plantes fermenté au sucre brun. FAA (Fish Amino Acid) : décomposition enzymatique du poisson par pression osmo</w:t>
        <w:br/>
        <w:t>§4 JADAM : JMS et solutions ultra-low-cost: Le système JADAM met l'accent sur l'autonomie paysanne et le coût minimal. JMS (JADAM Microbial Solution) : eau + pomme de terre bouillie + terre de sous-bois, fermenté 3 jours. JWA (JADAM Wetting Age</w:t>
        <w:br/>
        <w:t>§5 LiFoFer : la litière forestière fermentée: La LiFoFer (Litière Forestière Fermentée) est une préparation fermentaire à base de litière forestière diversifiée, obtenue par fermentation contrôlée anaérobie-aérobie sur 3 à 6 mois. Elle contient u</w:t>
      </w:r>
    </w:p>
    <w:p>
      <w:r>
        <w:t>§1 Introduction: Croisement de 4 fiches Triple Performance : 1. Agroécologie — Cadre conceptuel, triple approche (science/mouvement/pratique) 2. Régénération des sols — Restauration fertilité, chronoséquence, indicate</w:t>
        <w:br/>
        <w:t>§2 Cadre agroécologique: - P1 → S1 : Implications de la texture sur la CEC et la surface spécifique - P1 → S2 : Les indicateurs PLFA et Chao1 du diagnostic mesurent directement les guildes fonctionnelles de S2 - P1 → S3 : Int</w:t>
        <w:br/>
        <w:t xml:space="preserve">§3 Diagnostic et indicateurs: - P1 → S2 : Les indicateurs PLFA et Chao1 du diagnostic mesurent directement les guildes fonctionnelles de S2 - F2 → P1 : Indicateurs biologiques comme métriques de valorisation du capital sol - P1 → </w:t>
        <w:br/>
        <w:t>§4 Chronoséquence de transition: Données temporelles : combien d'années pour chaque phase ? - S2 → P5 : Ratio copiotrophes/oligotrophes comme indicateur de positionnement sur la chronoséquence de transition - H1 → P5 : Chronoséquence</w:t>
        <w:br/>
        <w:t>§5 Résilience climatique et atténuation: Lien avec la formule de Kirkby et le bilan humique AMG. - P1 → S1 : Implications de la texture sur la CEC et la surface spécifique - P1 → S2 : Les indicateurs PLFA et Chao1 du diagnostic mesurent dire</w:t>
      </w:r>
    </w:p>
    <w:p>
      <w:r>
        <w:t xml:space="preserve">§1 Introduction: Cette revue critique examine la chaîne C7 : les systèmes agricoles optimisés pour la performance maximale (rendement, efficience) deviennent fragiles, et la robustesse émerge des "contreperformances" </w:t>
        <w:br/>
        <w:t>§2 Le piège de la performance (efficiency trap): Olivier Hamant (ENS Lyon, 2023) décrit l'efficiency trap comme une boucle auto-renforçante : crise → besoin de sécurité → besoin de contrôle → augmentation de la performance → épuisement des ressource</w:t>
        <w:br/>
        <w:t>§3 Compromis performance/robustesse: Hamant (2024) affirme qu'un système ne peut pas être simultanément très performant et très robuste. Performant = optimisé, spécialisé, adapté (donc peu adaptable). Robuste = diversifié, redondant, len</w:t>
        <w:br/>
        <w:t>§4 Contreperformances sélectionnées par l évolution: Hamant propose que la sélection naturelle a favorisé quatre types de contreperformances qui élargissent l'espace de viabilité des systèmes : 1. Inefficacité : un CUE (Carbon Use Efficiency) variable p</w:t>
        <w:br/>
        <w:t>§5 Traduction agronomique : couverts, microbiome et transition: Les étapes 4-6 de la chaîne C7 traduisent les contreperformances dans la pratique agricole : Étape 4 — Couverts multi-espèces : la diversité spécifique est une "contreperformance productive" (rendemen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I. Planches permanentes</w:t>
      </w:r>
    </w:p>
    <w:p>
      <w:pPr>
        <w:pStyle w:val="Heading2"/>
      </w:pPr>
      <w:r>
        <w:t>1.1 Planches permanentes : principe et mise en oeuvre</w:t>
      </w:r>
    </w:p>
    <w:p>
      <w:r>
        <w:t>Les planches permanentes sont la base du MSV : pas de labour, pas de passage d'engins, accumulation de vie. Le sol se structure par le haut grâce aux apports de surface.</w:t>
      </w:r>
    </w:p>
    <w:p/>
    <w:p>
      <w:r>
        <w:t>→ Les planches permanentes (raised beds, 80-120 cm de large) concentrent la biomasse, les amendements et le piétinement sur les allées. Le sol de culture n'est JAMAIS compacté — structure préservée indéfiniment.</w:t>
        <w:br/>
        <w:t>→ En maraîchage, les planches permanentes remplacent le labour : le sol est travaillé en surface seulement (grelinette, campagnol) sur 10-15 cm. Les horizons profonds restent intacts (galeries de vers, mycorhizes, structure).</w:t>
        <w:br/>
        <w:t>→ La concentration de la biomasse sur les planches accélère la montée en MO : au lieu de 2 t/ha sur toute la parcelle, on apporte 4-6 t/ha sur la surface cultivée. Le ratio C/Argile monte plus vite, la transition est raccourcie.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1.2 Enrichissement en surface : compost, bokashi, paillage</w:t>
      </w:r>
    </w:p>
    <w:p>
      <w:r>
        <w:t>L'enrichissement en surface : compost, bokashi, paillage carboné. Le paillage nourrit les services hydrauliques fongiques. La ration du sol (~20 t MS/ha/an) est la condition de fonctionnement.</w:t>
      </w:r>
    </w:p>
    <w:p/>
    <w:p>
      <w:r>
        <w:t>→ L'enrichissement en surface (mulch, compost, bokashi) imite la forêt : la litière se dépose sur le sol et est incorporée par la faune (vers de terre, collemboles). PAS d'enfouissement mécanique — la biologie fait le travail.</w:t>
        <w:br/>
        <w:t>→ Séquence d'apports recommandée sur planche permanente : automne = bokashi + BRF (recharge biologique avant l'hiver). Printemps = compost mûr + paillage (nutrition + couverture). Été = mulch permanent (conservation eau + suppression adventices).</w:t>
        <w:br/>
        <w:t>→ L'apport de BRF (Bois Raméal Fragmenté) est SPÉCIFIQUE au maraîchage et à l'agroforesterie : rameaux de &lt; 7 cm Ø, riches en lignine tendre + nutriments. Les saprotrophes le colonisent en 3-6 mois et construisent de la nécromasse fongique stable.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II. Gestion du paillage</w:t>
      </w:r>
    </w:p>
    <w:p>
      <w:pPr>
        <w:pStyle w:val="Heading2"/>
      </w:pPr>
      <w:r>
        <w:t>2.1 Types de paillage et effets sur le microbiome</w:t>
      </w:r>
    </w:p>
    <w:p>
      <w:r>
        <w:t>Le type de paillage détermine la succession microbienne : carboné (BRF, broyat → champignons), vert (tonte → bactéries), mixte. Le ratio C/N du paillage pilote le ratio F/B du sol.</w:t>
      </w:r>
    </w:p>
    <w:p/>
    <w:p>
      <w:r>
        <w:t>→ Types de paillage et effets : paille de céréales (C:N 80, décomposition lente, bon mulch mais faim d'azote si incorporée). Foin (C:N 30, décomposition rapide, apport N modéré). BRF (C:N 50-80, nourrit les champignons saprotrophes, excellent pour F/B).</w:t>
        <w:br/>
        <w:t>→ L'épaisseur de mulch détermine l'effet : &lt; 5 cm = effet minimal (adventices passent, évaporation peu réduite). 10-15 cm = optimal (suppression adventices 80-95%, réduction évaporation 50-70%). &gt; 20 cm = risque de barrière (limaces, campagnols).</w:t>
        <w:br/>
        <w:t>→ Le mulch crée un GRADIENT redox vertical : surface aérée (aérobie) → base du mulch humide (micro-aérobie) → interface sol-mulch (anaérobie, biofilms). Ce gradient reproduit la litière forestière et maximise la diversité microbienne.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III. Biostimulants liquides</w:t>
      </w:r>
    </w:p>
    <w:p>
      <w:pPr>
        <w:pStyle w:val="Heading2"/>
      </w:pPr>
      <w:r>
        <w:t>3.1 JADAM JMS : biostimulant microbien à coût zéro</w:t>
      </w:r>
    </w:p>
    <w:p>
      <w:r>
        <w:t>Le JADAM JMS est un biostimulant microbien à coût quasi-zéro : eau + sol de sous-bois + sucre. Il inocule le microbiome indigène.</w:t>
      </w:r>
    </w:p>
    <w:p/>
    <w:p>
      <w:r>
        <w:t>→ JADAM JMS (Jayeon Nongbeop Microorganism Solution) : pomme de terre bouillie + feuilles de bambou/saule + eau, fermentée 3-7 jours. Coût : quasi nul. Production : 20 L en 1 semaine. Application : arrosage 1:50 ou pulvérisation 1:500.</w:t>
        <w:br/>
        <w:t>→ Le JMS capture les micro-organismes LOCAUX de la pomme de terre (riche en amidon = sélection des fermentaires) et des feuilles (phytobiome forestier). C'est un IMO liquide ultra-simplifié.</w:t>
        <w:br/>
        <w:t>→ Le JMS est l'entrée de gamme des biostimulants artisanaux : zéro coût, zéro matériel spécialisé, effet documenté sur la biomasse microbienne du sol (+20-40% en 4 semaines d'application hebdomadaire).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3.2 EM, lixiviat bokashi et LiFoFer en maraîchage</w:t>
      </w:r>
    </w:p>
    <w:p>
      <w:r>
        <w:t>Les biostimulants liquides en maraîchage : EM activés, lixiviat de bokashi, LiFoFer dilué. Applications foliaires et au sol.</w:t>
      </w:r>
    </w:p>
    <w:p/>
    <w:p>
      <w:r>
        <w:t>→ EM (Effective Microorganisms) : consortium commercial standardisé. Lixiviat de bokashi : extrait liquide de la fermentation du bokashi (métabolites + micro-organismes). LiFoFer : litière forestière fermentée (mycobiome local).</w:t>
        <w:br/>
        <w:t>→ Comparaison : EM = standardisé mais importé (souches non locales). Lixiviat = sous-produit du bokashi (gratuit). LiFoFer = micro-organismes forestiers locaux (diversité maximale). Les trois ont des effets comparables sur sol dégradé.</w:t>
        <w:br/>
        <w:t>→ En maraîchage, les fermentations artisanales sont ÉCONOMIQUEMENT viables : coût de production &lt; 1 €/L, application 1-2 L/10 m², 10-20 applications/an = 10-40 €/100 m². Vs biostimulants commerciaux : 200-500 €/ha.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IV. Rotations</w:t>
      </w:r>
    </w:p>
    <w:p>
      <w:pPr>
        <w:pStyle w:val="Heading2"/>
      </w:pPr>
      <w:r>
        <w:t>4.1 Rotations et associations maraîchères</w:t>
      </w:r>
    </w:p>
    <w:p>
      <w:r>
        <w:t>Les rotations et associations maraîchères : familles botaniques, successions saisonnières, associations bénéfiques. Le concept de triple performance (rendement, environnement, social).</w:t>
      </w:r>
    </w:p>
    <w:p/>
    <w:p>
      <w:r>
        <w:t>→ Les rotations en maraîchage sont CRITIQUES : la monoculture de solanacées (tomate 3 ans de suite) accumule Fusarium, Verticillium, nématodes à galles. Rotation minimale : 3-4 ans entre familles botaniques.</w:t>
        <w:br/>
        <w:t>→ Les associations favorables : tomate + basilic (répulsion aleurodes). Carotte + oignon (répulsion mouche de la carotte/de l'oignon). Maïs + haricot + courge (milpa, la « trois sœurs » — fixation N + tuteur + couverture sol).</w:t>
        <w:br/>
        <w:t>→ Le calendrier biodynamique (Thun) est controversé : aucune preuve scientifique de l'effet lunaire sur les cultures (méta-analyse Chalker-Scott 2013). Le seul effet documenté de la lune : marées → variation du niveau de la nappe phréatique en sol côtier.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V. Densité nutritionnelle</w:t>
      </w:r>
    </w:p>
    <w:p>
      <w:pPr>
        <w:pStyle w:val="Heading2"/>
      </w:pPr>
      <w:r>
        <w:t>5.1 Densité nutritionnelle : du sol vivant à l'assiette</w:t>
      </w:r>
    </w:p>
    <w:p>
      <w:r>
        <w:t>La densité nutritionnelle est le résultat final mesurable d'un sol vivant : plus de vitamines, minéraux, antioxydants par calorie. Le Brix (réfractomètre) comme indicateur terrain. Lien avec la santé humaine (ISR et densité nutritionnelle).</w:t>
      </w:r>
    </w:p>
    <w:p/>
    <w:p>
      <w:r>
        <w:t>→ La densité nutritionnelle (nutriments/calorie) est le critère de qualité FINAL de l'agriculture régénérative. Un sol biologiquement actif produit des aliments avec 20-40% plus de Zn, Fe, vitamines que le même génotype sur sol conventionnel.</w:t>
        <w:br/>
        <w:t>→ Le mécanisme : les PGPR et CMA augmentent l'absorption des micronutriments (Zn, Fe, Se, Mn) par la plante. L'ISR induite par les PGPR augmente les polyphénols et les antioxydants de défense — qui sont aussi des nutriments protecteurs pour l'humain.</w:t>
        <w:br/>
        <w:t>→ La boucle complète : sol biologiquement actif → microbiome racinaire diversifié → absorption minérale améliorée + polyphénols de défense → aliment dense nutritionnellement → microbiome intestinal nourri → santé humaine. Chaque maillon dépend du précédent.</w:t>
      </w:r>
    </w:p>
    <w:p>
      <w:pPr>
        <w:jc w:val="center"/>
      </w:pPr>
      <w:r>
        <w:rPr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Conclusion</w:t>
      </w:r>
    </w:p>
    <w:p>
      <w:r>
        <w:t>Ce document couvre 7 sections organisées autour de 5 chapitres : I. Planches permanentes, II. Gestion du paillage, III. Biostimulants liquides, IV. Rotations et 1 autres. La conclusion doit synthétiser les mécanismes clés et ouvrir sur les perspectives pratiques ou scientifiques.</w:t>
      </w:r>
    </w:p>
    <w:p>
      <w:r>
        <w:rPr>
          <w:i/>
          <w:color w:val="707070"/>
        </w:rPr>
        <w:t>La transition MSV est un investissement dans le capital biologique. Synthétiser : planches permanentes → paillage → biostimulants → rotations → densité nutritionnelle. Le résultat se mesure dans l'assiette.</w:t>
      </w:r>
    </w:p>
    <w:p>
      <w:r>
        <w:br w:type="page"/>
      </w:r>
    </w:p>
    <w:p>
      <w:pPr>
        <w:pStyle w:val="Heading1"/>
      </w:pPr>
      <w:r>
        <w:t>Annexes</w:t>
      </w:r>
    </w:p>
    <w:p>
      <w:pPr>
        <w:pStyle w:val="Heading2"/>
      </w:pPr>
      <w:r>
        <w:t>Renvois inter-documents (7)</w:t>
      </w:r>
    </w:p>
    <w:p>
      <w:r>
        <w:t>→ document · Voir F2 §II : Valorisation économique de la trajectoire de transition</w:t>
      </w:r>
    </w:p>
    <w:p>
      <w:r>
        <w:t>→ II · Voir H1 §IV : Chronoséquence nutritionnelle de la transition : évolution de la densité nutritionnelle des récoltes sur 10 ans</w:t>
      </w:r>
    </w:p>
    <w:p>
      <w:r>
        <w:t>→ document · Voir P1 : Indicateurs de base pour positionner l'exploitation sur la chronoséquence de transition</w:t>
      </w:r>
    </w:p>
    <w:p>
      <w:r>
        <w:t>→ document · Voir S2 : Le ratio copiotrophes/oligotrophes positionne l'exploitation sur la chronoséquence de transition</w:t>
      </w:r>
    </w:p>
    <w:p>
      <w:r>
        <w:t>→ II · Voir S3 §IV : Ratio F/B comme indicateur biologique de positionnement sur la chronoséquence</w:t>
      </w:r>
    </w:p>
    <w:p>
      <w:r>
        <w:t>→ II · Voir S4 §IV : Risque maximal de Priming Effect en Phase 1 de la transition</w:t>
      </w:r>
    </w:p>
    <w:p>
      <w:r>
        <w:t>→ document · Voir V1 : L'indice de maturité de Bongers (nématodes) positionne l'exploitation sur la chronoséquence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