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Microbiome Fongique et Mycorhizien</w:t>
      </w:r>
    </w:p>
    <w:p>
      <w:pPr>
        <w:pStyle w:val="Heading1"/>
      </w:pPr>
      <w:r>
        <w:t>Termes canoniques (74)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AON</w:t>
            </w:r>
          </w:p>
        </w:tc>
        <w:tc>
          <w:tcPr>
            <w:tcW w:type="dxa" w:w="2880"/>
          </w:tcPr>
          <w:p>
            <w:r>
              <w:t>autoregulation of nodulation</w:t>
            </w:r>
          </w:p>
        </w:tc>
        <w:tc>
          <w:tcPr>
            <w:tcW w:type="dxa" w:w="2880"/>
          </w:tcPr>
          <w:p>
            <w:r/>
          </w:p>
        </w:tc>
      </w:tr>
      <w:tr>
        <w:tc>
          <w:tcPr>
            <w:tcW w:type="dxa" w:w="2880"/>
          </w:tcPr>
          <w:p>
            <w:r>
              <w:t>Ascomycota</w:t>
            </w:r>
          </w:p>
        </w:tc>
        <w:tc>
          <w:tcPr>
            <w:tcW w:type="dxa" w:w="2880"/>
          </w:tcPr>
          <w:p>
            <w:r>
              <w:t>Ascomycota</w:t>
            </w:r>
          </w:p>
        </w:tc>
        <w:tc>
          <w:tcPr>
            <w:tcW w:type="dxa" w:w="2880"/>
          </w:tcPr>
          <w:p>
            <w:r/>
          </w:p>
        </w:tc>
      </w:tr>
      <w:tr>
        <w:tc>
          <w:tcPr>
            <w:tcW w:type="dxa" w:w="2880"/>
          </w:tcPr>
          <w:p>
            <w:r>
              <w:t>BGC</w:t>
            </w:r>
          </w:p>
        </w:tc>
        <w:tc>
          <w:tcPr>
            <w:tcW w:type="dxa" w:w="2880"/>
          </w:tcPr>
          <w:p>
            <w:r>
              <w:t>biosynthetic gene cluster</w:t>
            </w:r>
          </w:p>
        </w:tc>
        <w:tc>
          <w:tcPr>
            <w:tcW w:type="dxa" w:w="2880"/>
          </w:tcPr>
          <w:p>
            <w:r/>
          </w:p>
        </w:tc>
      </w:tr>
      <w:tr>
        <w:tc>
          <w:tcPr>
            <w:tcW w:type="dxa" w:w="2880"/>
          </w:tcPr>
          <w:p>
            <w:r>
              <w:t>Basidiomycota</w:t>
            </w:r>
          </w:p>
        </w:tc>
        <w:tc>
          <w:tcPr>
            <w:tcW w:type="dxa" w:w="2880"/>
          </w:tcPr>
          <w:p>
            <w:r>
              <w:t>Basidiomycota</w:t>
            </w:r>
          </w:p>
        </w:tc>
        <w:tc>
          <w:tcPr>
            <w:tcW w:type="dxa" w:w="2880"/>
          </w:tcPr>
          <w:p>
            <w:r/>
          </w:p>
        </w:tc>
      </w:tr>
      <w:tr>
        <w:tc>
          <w:tcPr>
            <w:tcW w:type="dxa" w:w="2880"/>
          </w:tcPr>
          <w:p>
            <w:r>
              <w:t>CCaMK</w:t>
            </w:r>
          </w:p>
        </w:tc>
        <w:tc>
          <w:tcPr>
            <w:tcW w:type="dxa" w:w="2880"/>
          </w:tcPr>
          <w:p>
            <w:r>
              <w:t>CCaMK</w:t>
            </w:r>
          </w:p>
        </w:tc>
        <w:tc>
          <w:tcPr>
            <w:tcW w:type="dxa" w:w="2880"/>
          </w:tcPr>
          <w:p>
            <w:r/>
          </w:p>
        </w:tc>
      </w:tr>
      <w:tr>
        <w:tc>
          <w:tcPr>
            <w:tcW w:type="dxa" w:w="2880"/>
          </w:tcPr>
          <w:p>
            <w:r>
              <w:t>CMA (champignons mycorhiziens à arbuscules) / Glomeromycota</w:t>
            </w:r>
          </w:p>
        </w:tc>
        <w:tc>
          <w:tcPr>
            <w:tcW w:type="dxa" w:w="2880"/>
          </w:tcPr>
          <w:p>
            <w:r>
              <w:t>AMF (arbuscular mycorrhizal fungi) / Glomeromycota</w:t>
            </w:r>
          </w:p>
        </w:tc>
        <w:tc>
          <w:tcPr>
            <w:tcW w:type="dxa" w:w="2880"/>
          </w:tcPr>
          <w:p>
            <w:r>
              <w:t>champignons mycorhiziens arbusculaires ; champignons mycorhizogènes à arbuscule ; endomycorhizes à arbuscules</w:t>
            </w:r>
          </w:p>
        </w:tc>
      </w:tr>
      <w:tr>
        <w:tc>
          <w:tcPr>
            <w:tcW w:type="dxa" w:w="2880"/>
          </w:tcPr>
          <w:p>
            <w:r>
              <w:t>CMN</w:t>
            </w:r>
          </w:p>
        </w:tc>
        <w:tc>
          <w:tcPr>
            <w:tcW w:type="dxa" w:w="2880"/>
          </w:tcPr>
          <w:p>
            <w:r>
              <w:t>common mycorrhizal network</w:t>
            </w:r>
          </w:p>
        </w:tc>
        <w:tc>
          <w:tcPr>
            <w:tcW w:type="dxa" w:w="2880"/>
          </w:tcPr>
          <w:p>
            <w:r>
              <w:t>réseaux mycorhiziens communs ; réseaux mycéliens communs ; réseaux communs mycéliens</w:t>
            </w:r>
          </w:p>
        </w:tc>
      </w:tr>
      <w:tr>
        <w:tc>
          <w:tcPr>
            <w:tcW w:type="dxa" w:w="2880"/>
          </w:tcPr>
          <w:p>
            <w:r>
              <w:t>CSSP</w:t>
            </w:r>
          </w:p>
        </w:tc>
        <w:tc>
          <w:tcPr>
            <w:tcW w:type="dxa" w:w="2880"/>
          </w:tcPr>
          <w:p>
            <w:r>
              <w:t>common symbiosis signaling pathway</w:t>
            </w:r>
          </w:p>
        </w:tc>
        <w:tc>
          <w:tcPr>
            <w:tcW w:type="dxa" w:w="2880"/>
          </w:tcPr>
          <w:p>
            <w:r/>
          </w:p>
        </w:tc>
      </w:tr>
      <w:tr>
        <w:tc>
          <w:tcPr>
            <w:tcW w:type="dxa" w:w="2880"/>
          </w:tcPr>
          <w:p>
            <w:r>
              <w:t>Dark Septate Endophytes (DSE)</w:t>
            </w:r>
          </w:p>
        </w:tc>
        <w:tc>
          <w:tcPr>
            <w:tcW w:type="dxa" w:w="2880"/>
          </w:tcPr>
          <w:p>
            <w:r>
              <w:t>Dark Septate Endophytes (DSE)</w:t>
            </w:r>
          </w:p>
        </w:tc>
        <w:tc>
          <w:tcPr>
            <w:tcW w:type="dxa" w:w="2880"/>
          </w:tcPr>
          <w:p>
            <w:r/>
          </w:p>
        </w:tc>
      </w:tr>
      <w:tr>
        <w:tc>
          <w:tcPr>
            <w:tcW w:type="dxa" w:w="2880"/>
          </w:tcPr>
          <w:p>
            <w:r>
              <w:t>ECM</w:t>
            </w:r>
          </w:p>
        </w:tc>
        <w:tc>
          <w:tcPr>
            <w:tcW w:type="dxa" w:w="2880"/>
          </w:tcPr>
          <w:p>
            <w:r>
              <w:t>ectomycorrhiza</w:t>
            </w:r>
          </w:p>
        </w:tc>
        <w:tc>
          <w:tcPr>
            <w:tcW w:type="dxa" w:w="2880"/>
          </w:tcPr>
          <w:p>
            <w:r>
              <w:t>ectomycorhizes</w:t>
            </w:r>
          </w:p>
        </w:tc>
      </w:tr>
      <w:tr>
        <w:tc>
          <w:tcPr>
            <w:tcW w:type="dxa" w:w="2880"/>
          </w:tcPr>
          <w:p>
            <w:r>
              <w:t>ETI</w:t>
            </w:r>
          </w:p>
        </w:tc>
        <w:tc>
          <w:tcPr>
            <w:tcW w:type="dxa" w:w="2880"/>
          </w:tcPr>
          <w:p>
            <w:r>
              <w:t>effector-triggered immunity</w:t>
            </w:r>
          </w:p>
        </w:tc>
        <w:tc>
          <w:tcPr>
            <w:tcW w:type="dxa" w:w="2880"/>
          </w:tcPr>
          <w:p>
            <w:r/>
          </w:p>
        </w:tc>
      </w:tr>
      <w:tr>
        <w:tc>
          <w:tcPr>
            <w:tcW w:type="dxa" w:w="2880"/>
          </w:tcPr>
          <w:p>
            <w:r>
              <w:t>Ectomycorhize</w:t>
            </w:r>
          </w:p>
        </w:tc>
        <w:tc>
          <w:tcPr>
            <w:tcW w:type="dxa" w:w="2880"/>
          </w:tcPr>
          <w:p>
            <w:r>
              <w:t>Ectomycorrhiza</w:t>
            </w:r>
          </w:p>
        </w:tc>
        <w:tc>
          <w:tcPr>
            <w:tcW w:type="dxa" w:w="2880"/>
          </w:tcPr>
          <w:p>
            <w:r>
              <w:t>aucune</w:t>
            </w:r>
          </w:p>
        </w:tc>
      </w:tr>
      <w:tr>
        <w:tc>
          <w:tcPr>
            <w:tcW w:type="dxa" w:w="2880"/>
          </w:tcPr>
          <w:p>
            <w:r>
              <w:t>Funneliformis</w:t>
            </w:r>
          </w:p>
        </w:tc>
        <w:tc>
          <w:tcPr>
            <w:tcW w:type="dxa" w:w="2880"/>
          </w:tcPr>
          <w:p>
            <w:r>
              <w:t>Funneliformis mosseae</w:t>
            </w:r>
          </w:p>
        </w:tc>
        <w:tc>
          <w:tcPr>
            <w:tcW w:type="dxa" w:w="2880"/>
          </w:tcPr>
          <w:p>
            <w:r>
              <w:t>champignon endomycorhizien</w:t>
            </w:r>
          </w:p>
        </w:tc>
      </w:tr>
      <w:tr>
        <w:tc>
          <w:tcPr>
            <w:tcW w:type="dxa" w:w="2880"/>
          </w:tcPr>
          <w:p>
            <w:r>
              <w:t>Glomus</w:t>
            </w:r>
          </w:p>
        </w:tc>
        <w:tc>
          <w:tcPr>
            <w:tcW w:type="dxa" w:w="2880"/>
          </w:tcPr>
          <w:p>
            <w:r>
              <w:t>Glomus (historical genus)</w:t>
            </w:r>
          </w:p>
        </w:tc>
        <w:tc>
          <w:tcPr>
            <w:tcW w:type="dxa" w:w="2880"/>
          </w:tcPr>
          <w:p>
            <w:r>
              <w:t>genre historique CMA ; glomus</w:t>
            </w:r>
          </w:p>
        </w:tc>
      </w:tr>
      <w:tr>
        <w:tc>
          <w:tcPr>
            <w:tcW w:type="dxa" w:w="2880"/>
          </w:tcPr>
          <w:p>
            <w:r>
              <w:t>LCO / facteurs Myc</w:t>
            </w:r>
          </w:p>
        </w:tc>
        <w:tc>
          <w:tcPr>
            <w:tcW w:type="dxa" w:w="2880"/>
          </w:tcPr>
          <w:p>
            <w:r>
              <w:t>lipochitooligosaccharides (LCO) / Myc factors</w:t>
            </w:r>
          </w:p>
        </w:tc>
        <w:tc>
          <w:tcPr>
            <w:tcW w:type="dxa" w:w="2880"/>
          </w:tcPr>
          <w:p>
            <w:r>
              <w:t>facteurs Myc · signaux LCO · facteurs Nod ; lipo-chitooligosaccharides</w:t>
            </w:r>
          </w:p>
        </w:tc>
      </w:tr>
      <w:tr>
        <w:tc>
          <w:tcPr>
            <w:tcW w:type="dxa" w:w="2880"/>
          </w:tcPr>
          <w:p>
            <w:r>
              <w:t>LysM-RLK</w:t>
            </w:r>
          </w:p>
        </w:tc>
        <w:tc>
          <w:tcPr>
            <w:tcW w:type="dxa" w:w="2880"/>
          </w:tcPr>
          <w:p>
            <w:r>
              <w:t>LysM receptor-like kinase</w:t>
            </w:r>
          </w:p>
        </w:tc>
        <w:tc>
          <w:tcPr>
            <w:tcW w:type="dxa" w:w="2880"/>
          </w:tcPr>
          <w:p>
            <w:r/>
          </w:p>
        </w:tc>
      </w:tr>
      <w:tr>
        <w:tc>
          <w:tcPr>
            <w:tcW w:type="dxa" w:w="2880"/>
          </w:tcPr>
          <w:p>
            <w:r>
              <w:t>Mycorrhiza Helper Bacteria (MHB)</w:t>
            </w:r>
          </w:p>
        </w:tc>
        <w:tc>
          <w:tcPr>
            <w:tcW w:type="dxa" w:w="2880"/>
          </w:tcPr>
          <w:p>
            <w:r>
              <w:t>Mycorrhiza Helper Bacteria (MHB)</w:t>
            </w:r>
          </w:p>
        </w:tc>
        <w:tc>
          <w:tcPr>
            <w:tcW w:type="dxa" w:w="2880"/>
          </w:tcPr>
          <w:p>
            <w:r/>
          </w:p>
        </w:tc>
      </w:tr>
      <w:tr>
        <w:tc>
          <w:tcPr>
            <w:tcW w:type="dxa" w:w="2880"/>
          </w:tcPr>
          <w:p>
            <w:r>
              <w:t>NIN (gène)</w:t>
            </w:r>
          </w:p>
        </w:tc>
        <w:tc>
          <w:tcPr>
            <w:tcW w:type="dxa" w:w="2880"/>
          </w:tcPr>
          <w:p>
            <w:r>
              <w:t>NIN (Nodule Inception)</w:t>
            </w:r>
          </w:p>
        </w:tc>
        <w:tc>
          <w:tcPr>
            <w:tcW w:type="dxa" w:w="2880"/>
          </w:tcPr>
          <w:p>
            <w:r/>
          </w:p>
        </w:tc>
      </w:tr>
      <w:tr>
        <w:tc>
          <w:tcPr>
            <w:tcW w:type="dxa" w:w="2880"/>
          </w:tcPr>
          <w:p>
            <w:r>
              <w:t>NLR</w:t>
            </w:r>
          </w:p>
        </w:tc>
        <w:tc>
          <w:tcPr>
            <w:tcW w:type="dxa" w:w="2880"/>
          </w:tcPr>
          <w:p>
            <w:r>
              <w:t>NLR receptor</w:t>
            </w:r>
          </w:p>
        </w:tc>
        <w:tc>
          <w:tcPr>
            <w:tcW w:type="dxa" w:w="2880"/>
          </w:tcPr>
          <w:p>
            <w:r/>
          </w:p>
        </w:tc>
      </w:tr>
      <w:tr>
        <w:tc>
          <w:tcPr>
            <w:tcW w:type="dxa" w:w="2880"/>
          </w:tcPr>
          <w:p>
            <w:r>
              <w:t>PRR</w:t>
            </w:r>
          </w:p>
        </w:tc>
        <w:tc>
          <w:tcPr>
            <w:tcW w:type="dxa" w:w="2880"/>
          </w:tcPr>
          <w:p>
            <w:r>
              <w:t>pattern-recognition receptor</w:t>
            </w:r>
          </w:p>
        </w:tc>
        <w:tc>
          <w:tcPr>
            <w:tcW w:type="dxa" w:w="2880"/>
          </w:tcPr>
          <w:p>
            <w:r/>
          </w:p>
        </w:tc>
      </w:tr>
      <w:tr>
        <w:tc>
          <w:tcPr>
            <w:tcW w:type="dxa" w:w="2880"/>
          </w:tcPr>
          <w:p>
            <w:r>
              <w:t>PTI</w:t>
            </w:r>
          </w:p>
        </w:tc>
        <w:tc>
          <w:tcPr>
            <w:tcW w:type="dxa" w:w="2880"/>
          </w:tcPr>
          <w:p>
            <w:r>
              <w:t>pattern-triggered immunity</w:t>
            </w:r>
          </w:p>
        </w:tc>
        <w:tc>
          <w:tcPr>
            <w:tcW w:type="dxa" w:w="2880"/>
          </w:tcPr>
          <w:p>
            <w:r/>
          </w:p>
        </w:tc>
      </w:tr>
      <w:tr>
        <w:tc>
          <w:tcPr>
            <w:tcW w:type="dxa" w:w="2880"/>
          </w:tcPr>
          <w:p>
            <w:r>
              <w:t>Rhizophagus</w:t>
            </w:r>
          </w:p>
        </w:tc>
        <w:tc>
          <w:tcPr>
            <w:tcW w:type="dxa" w:w="2880"/>
          </w:tcPr>
          <w:p>
            <w:r>
              <w:t>Rhizophagus irregularis</w:t>
            </w:r>
          </w:p>
        </w:tc>
        <w:tc>
          <w:tcPr>
            <w:tcW w:type="dxa" w:w="2880"/>
          </w:tcPr>
          <w:p>
            <w:r/>
          </w:p>
        </w:tc>
      </w:tr>
      <w:tr>
        <w:tc>
          <w:tcPr>
            <w:tcW w:type="dxa" w:w="2880"/>
          </w:tcPr>
          <w:p>
            <w:r>
              <w:t>Réseau Mycorhizien</w:t>
            </w:r>
          </w:p>
        </w:tc>
        <w:tc>
          <w:tcPr>
            <w:tcW w:type="dxa" w:w="2880"/>
          </w:tcPr>
          <w:p>
            <w:r>
              <w:t>Mycorrhizal Network (Common Mycorrhizal Network, CMN)</w:t>
            </w:r>
          </w:p>
        </w:tc>
        <w:tc>
          <w:tcPr>
            <w:tcW w:type="dxa" w:w="2880"/>
          </w:tcPr>
          <w:p>
            <w:r>
              <w:t>réseau de filaments</w:t>
            </w:r>
          </w:p>
        </w:tc>
      </w:tr>
      <w:tr>
        <w:tc>
          <w:tcPr>
            <w:tcW w:type="dxa" w:w="2880"/>
          </w:tcPr>
          <w:p>
            <w:r>
              <w:t>SYMRK</w:t>
            </w:r>
          </w:p>
        </w:tc>
        <w:tc>
          <w:tcPr>
            <w:tcW w:type="dxa" w:w="2880"/>
          </w:tcPr>
          <w:p>
            <w:r>
              <w:t>SYMRK</w:t>
            </w:r>
          </w:p>
        </w:tc>
        <w:tc>
          <w:tcPr>
            <w:tcW w:type="dxa" w:w="2880"/>
          </w:tcPr>
          <w:p>
            <w:r/>
          </w:p>
        </w:tc>
      </w:tr>
      <w:tr>
        <w:tc>
          <w:tcPr>
            <w:tcW w:type="dxa" w:w="2880"/>
          </w:tcPr>
          <w:p>
            <w:r>
              <w:t>Trichoderma</w:t>
            </w:r>
          </w:p>
        </w:tc>
        <w:tc>
          <w:tcPr>
            <w:tcW w:type="dxa" w:w="2880"/>
          </w:tcPr>
          <w:p>
            <w:r>
              <w:t>Trichoderma</w:t>
            </w:r>
          </w:p>
        </w:tc>
        <w:tc>
          <w:tcPr>
            <w:tcW w:type="dxa" w:w="2880"/>
          </w:tcPr>
          <w:p>
            <w:r>
              <w:t>trichoderma</w:t>
            </w:r>
          </w:p>
        </w:tc>
      </w:tr>
      <w:tr>
        <w:tc>
          <w:tcPr>
            <w:tcW w:type="dxa" w:w="2880"/>
          </w:tcPr>
          <w:p>
            <w:r>
              <w:t>Trichoderma harzianum</w:t>
            </w:r>
          </w:p>
        </w:tc>
        <w:tc>
          <w:tcPr>
            <w:tcW w:type="dxa" w:w="2880"/>
          </w:tcPr>
          <w:p>
            <w:r>
              <w:t>Trichoderma harzianum</w:t>
            </w:r>
          </w:p>
        </w:tc>
        <w:tc>
          <w:tcPr>
            <w:tcW w:type="dxa" w:w="2880"/>
          </w:tcPr>
          <w:p>
            <w:r/>
          </w:p>
        </w:tc>
      </w:tr>
      <w:tr>
        <w:tc>
          <w:tcPr>
            <w:tcW w:type="dxa" w:w="2880"/>
          </w:tcPr>
          <w:p>
            <w:r>
              <w:t>UCYN-A</w:t>
            </w:r>
          </w:p>
        </w:tc>
        <w:tc>
          <w:tcPr>
            <w:tcW w:type="dxa" w:w="2880"/>
          </w:tcPr>
          <w:p>
            <w:r>
              <w:t>UCYN-A</w:t>
            </w:r>
          </w:p>
        </w:tc>
        <w:tc>
          <w:tcPr>
            <w:tcW w:type="dxa" w:w="2880"/>
          </w:tcPr>
          <w:p>
            <w:r/>
          </w:p>
        </w:tc>
      </w:tr>
      <w:tr>
        <w:tc>
          <w:tcPr>
            <w:tcW w:type="dxa" w:w="2880"/>
          </w:tcPr>
          <w:p>
            <w:r>
              <w:t>biocontrôle</w:t>
            </w:r>
          </w:p>
        </w:tc>
        <w:tc>
          <w:tcPr>
            <w:tcW w:type="dxa" w:w="2880"/>
          </w:tcPr>
          <w:p>
            <w:r>
              <w:t>biocontrol</w:t>
            </w:r>
          </w:p>
        </w:tc>
        <w:tc>
          <w:tcPr>
            <w:tcW w:type="dxa" w:w="2880"/>
          </w:tcPr>
          <w:p>
            <w:r>
              <w:t>lutte biologique ; protection biologique des cultures</w:t>
            </w:r>
          </w:p>
        </w:tc>
      </w:tr>
      <w:tr>
        <w:tc>
          <w:tcPr>
            <w:tcW w:type="dxa" w:w="2880"/>
          </w:tcPr>
          <w:p>
            <w:r>
              <w:t>cadre coût-bénéfice</w:t>
            </w:r>
          </w:p>
        </w:tc>
        <w:tc>
          <w:tcPr>
            <w:tcW w:type="dxa" w:w="2880"/>
          </w:tcPr>
          <w:p>
            <w:r>
              <w:t>cost-benefit framework</w:t>
            </w:r>
          </w:p>
        </w:tc>
        <w:tc>
          <w:tcPr>
            <w:tcW w:type="dxa" w:w="2880"/>
          </w:tcPr>
          <w:p>
            <w:r/>
          </w:p>
        </w:tc>
      </w:tr>
      <w:tr>
        <w:tc>
          <w:tcPr>
            <w:tcW w:type="dxa" w:w="2880"/>
          </w:tcPr>
          <w:p>
            <w:r>
              <w:t>cadre temps-profond trois piliers</w:t>
            </w:r>
          </w:p>
        </w:tc>
        <w:tc>
          <w:tcPr>
            <w:tcW w:type="dxa" w:w="2880"/>
          </w:tcPr>
          <w:p>
            <w:r>
              <w:t>deep-time three-pillar framework</w:t>
            </w:r>
          </w:p>
        </w:tc>
        <w:tc>
          <w:tcPr>
            <w:tcW w:type="dxa" w:w="2880"/>
          </w:tcPr>
          <w:p>
            <w:r/>
          </w:p>
        </w:tc>
      </w:tr>
      <w:tr>
        <w:tc>
          <w:tcPr>
            <w:tcW w:type="dxa" w:w="2880"/>
          </w:tcPr>
          <w:p>
            <w:r>
              <w:t>champignon entomopathogène</w:t>
            </w:r>
          </w:p>
        </w:tc>
        <w:tc>
          <w:tcPr>
            <w:tcW w:type="dxa" w:w="2880"/>
          </w:tcPr>
          <w:p>
            <w:r>
              <w:t>entomopathogenic fungi (EPF)</w:t>
            </w:r>
          </w:p>
        </w:tc>
        <w:tc>
          <w:tcPr>
            <w:tcW w:type="dxa" w:w="2880"/>
          </w:tcPr>
          <w:p>
            <w:r>
              <w:t>champignon insecticide biologique</w:t>
            </w:r>
          </w:p>
        </w:tc>
      </w:tr>
      <w:tr>
        <w:tc>
          <w:tcPr>
            <w:tcW w:type="dxa" w:w="2880"/>
          </w:tcPr>
          <w:p>
            <w:r>
              <w:t>chitine fongique</w:t>
            </w:r>
          </w:p>
        </w:tc>
        <w:tc>
          <w:tcPr>
            <w:tcW w:type="dxa" w:w="2880"/>
          </w:tcPr>
          <w:p>
            <w:r>
              <w:t>fungal chitin</w:t>
            </w:r>
          </w:p>
        </w:tc>
        <w:tc>
          <w:tcPr>
            <w:tcW w:type="dxa" w:w="2880"/>
          </w:tcPr>
          <w:p>
            <w:r>
              <w:t>chitine de la paroi fongique</w:t>
            </w:r>
          </w:p>
        </w:tc>
      </w:tr>
      <w:tr>
        <w:tc>
          <w:tcPr>
            <w:tcW w:type="dxa" w:w="2880"/>
          </w:tcPr>
          <w:p>
            <w:r>
              <w:t>communication trans-règnes</w:t>
            </w:r>
          </w:p>
        </w:tc>
        <w:tc>
          <w:tcPr>
            <w:tcW w:type="dxa" w:w="2880"/>
          </w:tcPr>
          <w:p>
            <w:r>
              <w:t>cross-kingdom communication</w:t>
            </w:r>
          </w:p>
        </w:tc>
        <w:tc>
          <w:tcPr>
            <w:tcW w:type="dxa" w:w="2880"/>
          </w:tcPr>
          <w:p>
            <w:r/>
          </w:p>
        </w:tc>
      </w:tr>
      <w:tr>
        <w:tc>
          <w:tcPr>
            <w:tcW w:type="dxa" w:w="2880"/>
          </w:tcPr>
          <w:p>
            <w:r>
              <w:t>continuum ami-ennemi</w:t>
            </w:r>
          </w:p>
        </w:tc>
        <w:tc>
          <w:tcPr>
            <w:tcW w:type="dxa" w:w="2880"/>
          </w:tcPr>
          <w:p>
            <w:r>
              <w:t>friend-foe continuum</w:t>
            </w:r>
          </w:p>
        </w:tc>
        <w:tc>
          <w:tcPr>
            <w:tcW w:type="dxa" w:w="2880"/>
          </w:tcPr>
          <w:p>
            <w:r/>
          </w:p>
        </w:tc>
      </w:tr>
      <w:tr>
        <w:tc>
          <w:tcPr>
            <w:tcW w:type="dxa" w:w="2880"/>
          </w:tcPr>
          <w:p>
            <w:r>
              <w:t>contrôle immunitaire (gatekeeping)</w:t>
            </w:r>
          </w:p>
        </w:tc>
        <w:tc>
          <w:tcPr>
            <w:tcW w:type="dxa" w:w="2880"/>
          </w:tcPr>
          <w:p>
            <w:r>
              <w:t>immune gatekeeping</w:t>
            </w:r>
          </w:p>
        </w:tc>
        <w:tc>
          <w:tcPr>
            <w:tcW w:type="dxa" w:w="2880"/>
          </w:tcPr>
          <w:p>
            <w:r/>
          </w:p>
        </w:tc>
      </w:tr>
      <w:tr>
        <w:tc>
          <w:tcPr>
            <w:tcW w:type="dxa" w:w="2880"/>
          </w:tcPr>
          <w:p>
            <w:r>
              <w:t>coévolution plante-microbe</w:t>
            </w:r>
          </w:p>
        </w:tc>
        <w:tc>
          <w:tcPr>
            <w:tcW w:type="dxa" w:w="2880"/>
          </w:tcPr>
          <w:p>
            <w:r>
              <w:t>plant-microbe coevolution</w:t>
            </w:r>
          </w:p>
        </w:tc>
        <w:tc>
          <w:tcPr>
            <w:tcW w:type="dxa" w:w="2880"/>
          </w:tcPr>
          <w:p>
            <w:r/>
          </w:p>
        </w:tc>
      </w:tr>
      <w:tr>
        <w:tc>
          <w:tcPr>
            <w:tcW w:type="dxa" w:w="2880"/>
          </w:tcPr>
          <w:p>
            <w:r>
              <w:t>fixation d'azote associative</w:t>
            </w:r>
          </w:p>
        </w:tc>
        <w:tc>
          <w:tcPr>
            <w:tcW w:type="dxa" w:w="2880"/>
          </w:tcPr>
          <w:p>
            <w:r>
              <w:t>associative nitrogen fixation</w:t>
            </w:r>
          </w:p>
        </w:tc>
        <w:tc>
          <w:tcPr>
            <w:tcW w:type="dxa" w:w="2880"/>
          </w:tcPr>
          <w:p>
            <w:r/>
          </w:p>
        </w:tc>
      </w:tr>
      <w:tr>
        <w:tc>
          <w:tcPr>
            <w:tcW w:type="dxa" w:w="2880"/>
          </w:tcPr>
          <w:p>
            <w:r>
              <w:t>glomaline</w:t>
            </w:r>
          </w:p>
        </w:tc>
        <w:tc>
          <w:tcPr>
            <w:tcW w:type="dxa" w:w="2880"/>
          </w:tcPr>
          <w:p>
            <w:r>
              <w:t>glomalin-related soil protein (GRSP)</w:t>
            </w:r>
          </w:p>
        </w:tc>
        <w:tc>
          <w:tcPr>
            <w:tcW w:type="dxa" w:w="2880"/>
          </w:tcPr>
          <w:p>
            <w:r>
              <w:t>glycoprotéine produite par les CMA</w:t>
            </w:r>
          </w:p>
        </w:tc>
      </w:tr>
      <w:tr>
        <w:tc>
          <w:tcPr>
            <w:tcW w:type="dxa" w:w="2880"/>
          </w:tcPr>
          <w:p>
            <w:r>
              <w:t>guildes fongiques</w:t>
            </w:r>
          </w:p>
        </w:tc>
        <w:tc>
          <w:tcPr>
            <w:tcW w:type="dxa" w:w="2880"/>
          </w:tcPr>
          <w:p>
            <w:r>
              <w:t>fungal guilds</w:t>
            </w:r>
          </w:p>
        </w:tc>
        <w:tc>
          <w:tcPr>
            <w:tcW w:type="dxa" w:w="2880"/>
          </w:tcPr>
          <w:p>
            <w:r>
              <w:t>groupes fonctionnels fongiques</w:t>
            </w:r>
          </w:p>
        </w:tc>
      </w:tr>
      <w:tr>
        <w:tc>
          <w:tcPr>
            <w:tcW w:type="dxa" w:w="2880"/>
          </w:tcPr>
          <w:p>
            <w:r>
              <w:t>hyphosphère</w:t>
            </w:r>
          </w:p>
        </w:tc>
        <w:tc>
          <w:tcPr>
            <w:tcW w:type="dxa" w:w="2880"/>
          </w:tcPr>
          <w:p>
            <w:r>
              <w:t>hyphosphere</w:t>
            </w:r>
          </w:p>
        </w:tc>
        <w:tc>
          <w:tcPr>
            <w:tcW w:type="dxa" w:w="2880"/>
          </w:tcPr>
          <w:p>
            <w:r>
              <w:t>zone hyphale</w:t>
            </w:r>
          </w:p>
        </w:tc>
      </w:tr>
      <w:tr>
        <w:tc>
          <w:tcPr>
            <w:tcW w:type="dxa" w:w="2880"/>
          </w:tcPr>
          <w:p>
            <w:r>
              <w:t>ingénierie du microbiome</w:t>
            </w:r>
          </w:p>
        </w:tc>
        <w:tc>
          <w:tcPr>
            <w:tcW w:type="dxa" w:w="2880"/>
          </w:tcPr>
          <w:p>
            <w:r>
              <w:t>microbiome engineering</w:t>
            </w:r>
          </w:p>
        </w:tc>
        <w:tc>
          <w:tcPr>
            <w:tcW w:type="dxa" w:w="2880"/>
          </w:tcPr>
          <w:p>
            <w:r/>
          </w:p>
        </w:tc>
      </w:tr>
      <w:tr>
        <w:tc>
          <w:tcPr>
            <w:tcW w:type="dxa" w:w="2880"/>
          </w:tcPr>
          <w:p>
            <w:r>
              <w:t>laccase</w:t>
            </w:r>
          </w:p>
        </w:tc>
        <w:tc>
          <w:tcPr>
            <w:tcW w:type="dxa" w:w="2880"/>
          </w:tcPr>
          <w:p>
            <w:r>
              <w:t>laccase</w:t>
            </w:r>
          </w:p>
        </w:tc>
        <w:tc>
          <w:tcPr>
            <w:tcW w:type="dxa" w:w="2880"/>
          </w:tcPr>
          <w:p>
            <w:r/>
          </w:p>
        </w:tc>
      </w:tr>
      <w:tr>
        <w:tc>
          <w:tcPr>
            <w:tcW w:type="dxa" w:w="2880"/>
          </w:tcPr>
          <w:p>
            <w:r>
              <w:t>lignine</w:t>
            </w:r>
          </w:p>
        </w:tc>
        <w:tc>
          <w:tcPr>
            <w:tcW w:type="dxa" w:w="2880"/>
          </w:tcPr>
          <w:p>
            <w:r>
              <w:t>lignin</w:t>
            </w:r>
          </w:p>
        </w:tc>
        <w:tc>
          <w:tcPr>
            <w:tcW w:type="dxa" w:w="2880"/>
          </w:tcPr>
          <w:p>
            <w:r>
              <w:t>fraction ligneuse</w:t>
            </w:r>
          </w:p>
        </w:tc>
      </w:tr>
      <w:tr>
        <w:tc>
          <w:tcPr>
            <w:tcW w:type="dxa" w:w="2880"/>
          </w:tcPr>
          <w:p>
            <w:r>
              <w:t>mutualisme</w:t>
            </w:r>
          </w:p>
        </w:tc>
        <w:tc>
          <w:tcPr>
            <w:tcW w:type="dxa" w:w="2880"/>
          </w:tcPr>
          <w:p>
            <w:r>
              <w:t>mutualism</w:t>
            </w:r>
          </w:p>
        </w:tc>
        <w:tc>
          <w:tcPr>
            <w:tcW w:type="dxa" w:w="2880"/>
          </w:tcPr>
          <w:p>
            <w:r>
              <w:t>aucune ; symbiose à bénéfices réciproques</w:t>
            </w:r>
          </w:p>
        </w:tc>
      </w:tr>
      <w:tr>
        <w:tc>
          <w:tcPr>
            <w:tcW w:type="dxa" w:w="2880"/>
          </w:tcPr>
          <w:p>
            <w:r>
              <w:t>mycobiome</w:t>
            </w:r>
          </w:p>
        </w:tc>
        <w:tc>
          <w:tcPr>
            <w:tcW w:type="dxa" w:w="2880"/>
          </w:tcPr>
          <w:p>
            <w:r>
              <w:t>mycobiome</w:t>
            </w:r>
          </w:p>
        </w:tc>
        <w:tc>
          <w:tcPr>
            <w:tcW w:type="dxa" w:w="2880"/>
          </w:tcPr>
          <w:p>
            <w:r>
              <w:t>communauté fongique · population fongique ; microbiome fongique ; fonge ; microbiote fongique</w:t>
            </w:r>
          </w:p>
        </w:tc>
      </w:tr>
      <w:tr>
        <w:tc>
          <w:tcPr>
            <w:tcW w:type="dxa" w:w="2880"/>
          </w:tcPr>
          <w:p>
            <w:r>
              <w:t>mycoparasite</w:t>
            </w:r>
          </w:p>
        </w:tc>
        <w:tc>
          <w:tcPr>
            <w:tcW w:type="dxa" w:w="2880"/>
          </w:tcPr>
          <w:p>
            <w:r>
              <w:t>mycoparasite</w:t>
            </w:r>
          </w:p>
        </w:tc>
        <w:tc>
          <w:tcPr>
            <w:tcW w:type="dxa" w:w="2880"/>
          </w:tcPr>
          <w:p>
            <w:r>
              <w:t>hyperparasite ; parasite de champignon</w:t>
            </w:r>
          </w:p>
        </w:tc>
      </w:tr>
      <w:tr>
        <w:tc>
          <w:tcPr>
            <w:tcW w:type="dxa" w:w="2880"/>
          </w:tcPr>
          <w:p>
            <w:r>
              <w:t>mycorhizosphère</w:t>
            </w:r>
          </w:p>
        </w:tc>
        <w:tc>
          <w:tcPr>
            <w:tcW w:type="dxa" w:w="2880"/>
          </w:tcPr>
          <w:p>
            <w:r>
              <w:t>mycorrhizosphere</w:t>
            </w:r>
          </w:p>
        </w:tc>
        <w:tc>
          <w:tcPr>
            <w:tcW w:type="dxa" w:w="2880"/>
          </w:tcPr>
          <w:p>
            <w:r>
              <w:t>sphère mycorhizienne</w:t>
            </w:r>
          </w:p>
        </w:tc>
      </w:tr>
      <w:tr>
        <w:tc>
          <w:tcPr>
            <w:tcW w:type="dxa" w:w="2880"/>
          </w:tcPr>
          <w:p>
            <w:r>
              <w:t>nitroplaste</w:t>
            </w:r>
          </w:p>
        </w:tc>
        <w:tc>
          <w:tcPr>
            <w:tcW w:type="dxa" w:w="2880"/>
          </w:tcPr>
          <w:p>
            <w:r>
              <w:t>nitroplast</w:t>
            </w:r>
          </w:p>
        </w:tc>
        <w:tc>
          <w:tcPr>
            <w:tcW w:type="dxa" w:w="2880"/>
          </w:tcPr>
          <w:p>
            <w:r/>
          </w:p>
        </w:tc>
      </w:tr>
      <w:tr>
        <w:tc>
          <w:tcPr>
            <w:tcW w:type="dxa" w:w="2880"/>
          </w:tcPr>
          <w:p>
            <w:r>
              <w:t>nécromasse fongique</w:t>
            </w:r>
          </w:p>
        </w:tc>
        <w:tc>
          <w:tcPr>
            <w:tcW w:type="dxa" w:w="2880"/>
          </w:tcPr>
          <w:p>
            <w:r>
              <w:t>fungal necromass</w:t>
            </w:r>
          </w:p>
        </w:tc>
        <w:tc>
          <w:tcPr>
            <w:tcW w:type="dxa" w:w="2880"/>
          </w:tcPr>
          <w:p>
            <w:r>
              <w:t>nécromasse fongique ; résidus mycéliens ; biomasse fongique morte</w:t>
            </w:r>
          </w:p>
        </w:tc>
      </w:tr>
      <w:tr>
        <w:tc>
          <w:tcPr>
            <w:tcW w:type="dxa" w:w="2880"/>
          </w:tcPr>
          <w:p>
            <w:r>
              <w:t>nœud d'autorégulation</w:t>
            </w:r>
          </w:p>
        </w:tc>
        <w:tc>
          <w:tcPr>
            <w:tcW w:type="dxa" w:w="2880"/>
          </w:tcPr>
          <w:p>
            <w:r>
              <w:t>autoregulation node</w:t>
            </w:r>
          </w:p>
        </w:tc>
        <w:tc>
          <w:tcPr>
            <w:tcW w:type="dxa" w:w="2880"/>
          </w:tcPr>
          <w:p>
            <w:r/>
          </w:p>
        </w:tc>
      </w:tr>
      <w:tr>
        <w:tc>
          <w:tcPr>
            <w:tcW w:type="dxa" w:w="2880"/>
          </w:tcPr>
          <w:p>
            <w:r>
              <w:t>organellogenèse</w:t>
            </w:r>
          </w:p>
        </w:tc>
        <w:tc>
          <w:tcPr>
            <w:tcW w:type="dxa" w:w="2880"/>
          </w:tcPr>
          <w:p>
            <w:r>
              <w:t>organellogenesis</w:t>
            </w:r>
          </w:p>
        </w:tc>
        <w:tc>
          <w:tcPr>
            <w:tcW w:type="dxa" w:w="2880"/>
          </w:tcPr>
          <w:p>
            <w:r/>
          </w:p>
        </w:tc>
      </w:tr>
      <w:tr>
        <w:tc>
          <w:tcPr>
            <w:tcW w:type="dxa" w:w="2880"/>
          </w:tcPr>
          <w:p>
            <w:r>
              <w:t>petit ARN non codant</w:t>
            </w:r>
          </w:p>
        </w:tc>
        <w:tc>
          <w:tcPr>
            <w:tcW w:type="dxa" w:w="2880"/>
          </w:tcPr>
          <w:p>
            <w:r>
              <w:t>small non-coding RNA (sncRNA)</w:t>
            </w:r>
          </w:p>
        </w:tc>
        <w:tc>
          <w:tcPr>
            <w:tcW w:type="dxa" w:w="2880"/>
          </w:tcPr>
          <w:p>
            <w:r/>
          </w:p>
        </w:tc>
      </w:tr>
      <w:tr>
        <w:tc>
          <w:tcPr>
            <w:tcW w:type="dxa" w:w="2880"/>
          </w:tcPr>
          <w:p>
            <w:r>
              <w:t>point de bascule</w:t>
            </w:r>
          </w:p>
        </w:tc>
        <w:tc>
          <w:tcPr>
            <w:tcW w:type="dxa" w:w="2880"/>
          </w:tcPr>
          <w:p>
            <w:r>
              <w:t>tipping point</w:t>
            </w:r>
          </w:p>
        </w:tc>
        <w:tc>
          <w:tcPr>
            <w:tcW w:type="dxa" w:w="2880"/>
          </w:tcPr>
          <w:p>
            <w:r/>
          </w:p>
        </w:tc>
      </w:tr>
      <w:tr>
        <w:tc>
          <w:tcPr>
            <w:tcW w:type="dxa" w:w="2880"/>
          </w:tcPr>
          <w:p>
            <w:r>
              <w:t>pont mycorhizien</w:t>
            </w:r>
          </w:p>
        </w:tc>
        <w:tc>
          <w:tcPr>
            <w:tcW w:type="dxa" w:w="2880"/>
          </w:tcPr>
          <w:p>
            <w:r>
              <w:t>mycorrhizal bridge</w:t>
            </w:r>
          </w:p>
        </w:tc>
        <w:tc>
          <w:tcPr>
            <w:tcW w:type="dxa" w:w="2880"/>
          </w:tcPr>
          <w:p>
            <w:r/>
          </w:p>
        </w:tc>
      </w:tr>
      <w:tr>
        <w:tc>
          <w:tcPr>
            <w:tcW w:type="dxa" w:w="2880"/>
          </w:tcPr>
          <w:p>
            <w:r>
              <w:t>ratio F/B</w:t>
            </w:r>
          </w:p>
        </w:tc>
        <w:tc>
          <w:tcPr>
            <w:tcW w:type="dxa" w:w="2880"/>
          </w:tcPr>
          <w:p>
            <w:r>
              <w:t>fungi to bacteria ratio</w:t>
            </w:r>
          </w:p>
        </w:tc>
        <w:tc>
          <w:tcPr>
            <w:tcW w:type="dxa" w:w="2880"/>
          </w:tcPr>
          <w:p>
            <w:r>
              <w:t>rapport champignons/bactéries</w:t>
            </w:r>
          </w:p>
        </w:tc>
      </w:tr>
      <w:tr>
        <w:tc>
          <w:tcPr>
            <w:tcW w:type="dxa" w:w="2880"/>
          </w:tcPr>
          <w:p>
            <w:r>
              <w:t>ratio fungi:bacteria</w:t>
            </w:r>
          </w:p>
        </w:tc>
        <w:tc>
          <w:tcPr>
            <w:tcW w:type="dxa" w:w="2880"/>
          </w:tcPr>
          <w:p>
            <w:r>
              <w:t>fungi to bacteria ratio (F:B)</w:t>
            </w:r>
          </w:p>
        </w:tc>
        <w:tc>
          <w:tcPr>
            <w:tcW w:type="dxa" w:w="2880"/>
          </w:tcPr>
          <w:p>
            <w:r/>
          </w:p>
        </w:tc>
      </w:tr>
      <w:tr>
        <w:tc>
          <w:tcPr>
            <w:tcW w:type="dxa" w:w="2880"/>
          </w:tcPr>
          <w:p>
            <w:r>
              <w:t>redistribution hydraulique fongique</w:t>
            </w:r>
          </w:p>
        </w:tc>
        <w:tc>
          <w:tcPr>
            <w:tcW w:type="dxa" w:w="2880"/>
          </w:tcPr>
          <w:p>
            <w:r>
              <w:t>fungal hydraulic redistribution</w:t>
            </w:r>
          </w:p>
        </w:tc>
        <w:tc>
          <w:tcPr>
            <w:tcW w:type="dxa" w:w="2880"/>
          </w:tcPr>
          <w:p>
            <w:r/>
          </w:p>
        </w:tc>
      </w:tr>
      <w:tr>
        <w:tc>
          <w:tcPr>
            <w:tcW w:type="dxa" w:w="2880"/>
          </w:tcPr>
          <w:p>
            <w:r>
              <w:t>redondance fonctionnelle</w:t>
            </w:r>
          </w:p>
        </w:tc>
        <w:tc>
          <w:tcPr>
            <w:tcW w:type="dxa" w:w="2880"/>
          </w:tcPr>
          <w:p>
            <w:r>
              <w:t>functional redundancy</w:t>
            </w:r>
          </w:p>
        </w:tc>
        <w:tc>
          <w:tcPr>
            <w:tcW w:type="dxa" w:w="2880"/>
          </w:tcPr>
          <w:p>
            <w:r/>
          </w:p>
        </w:tc>
      </w:tr>
      <w:tr>
        <w:tc>
          <w:tcPr>
            <w:tcW w:type="dxa" w:w="2880"/>
          </w:tcPr>
          <w:p>
            <w:r>
              <w:t>réseau de Hartig</w:t>
            </w:r>
          </w:p>
        </w:tc>
        <w:tc>
          <w:tcPr>
            <w:tcW w:type="dxa" w:w="2880"/>
          </w:tcPr>
          <w:p>
            <w:r>
              <w:t>Hartig net</w:t>
            </w:r>
          </w:p>
        </w:tc>
        <w:tc>
          <w:tcPr>
            <w:tcW w:type="dxa" w:w="2880"/>
          </w:tcPr>
          <w:p>
            <w:r>
              <w:t>réseau de Hartig</w:t>
            </w:r>
          </w:p>
        </w:tc>
      </w:tr>
      <w:tr>
        <w:tc>
          <w:tcPr>
            <w:tcW w:type="dxa" w:w="2880"/>
          </w:tcPr>
          <w:p>
            <w:r>
              <w:t>saprotrophes</w:t>
            </w:r>
          </w:p>
        </w:tc>
        <w:tc>
          <w:tcPr>
            <w:tcW w:type="dxa" w:w="2880"/>
          </w:tcPr>
          <w:p>
            <w:r>
              <w:t>saprotrophic fungi</w:t>
            </w:r>
          </w:p>
        </w:tc>
        <w:tc>
          <w:tcPr>
            <w:tcW w:type="dxa" w:w="2880"/>
          </w:tcPr>
          <w:p>
            <w:r>
              <w:t>champignons saproxyliques · décomposeurs</w:t>
            </w:r>
          </w:p>
        </w:tc>
      </w:tr>
      <w:tr>
        <w:tc>
          <w:tcPr>
            <w:tcW w:type="dxa" w:w="2880"/>
          </w:tcPr>
          <w:p>
            <w:r>
              <w:t>saprotrophes pourvoyeurs d'eau</w:t>
            </w:r>
          </w:p>
        </w:tc>
        <w:tc>
          <w:tcPr>
            <w:tcW w:type="dxa" w:w="2880"/>
          </w:tcPr>
          <w:p>
            <w:r>
              <w:t>saprotrophic fungi as water providers</w:t>
            </w:r>
          </w:p>
        </w:tc>
        <w:tc>
          <w:tcPr>
            <w:tcW w:type="dxa" w:w="2880"/>
          </w:tcPr>
          <w:p>
            <w:r>
              <w:t>champignons saprotrophes redistribuant l'eau</w:t>
            </w:r>
          </w:p>
        </w:tc>
      </w:tr>
      <w:tr>
        <w:tc>
          <w:tcPr>
            <w:tcW w:type="dxa" w:w="2880"/>
          </w:tcPr>
          <w:p>
            <w:r>
              <w:t>saut d'hôte</w:t>
            </w:r>
          </w:p>
        </w:tc>
        <w:tc>
          <w:tcPr>
            <w:tcW w:type="dxa" w:w="2880"/>
          </w:tcPr>
          <w:p>
            <w:r>
              <w:t>host jump</w:t>
            </w:r>
          </w:p>
        </w:tc>
        <w:tc>
          <w:tcPr>
            <w:tcW w:type="dxa" w:w="2880"/>
          </w:tcPr>
          <w:p>
            <w:r/>
          </w:p>
        </w:tc>
      </w:tr>
      <w:tr>
        <w:tc>
          <w:tcPr>
            <w:tcW w:type="dxa" w:w="2880"/>
          </w:tcPr>
          <w:p>
            <w:r>
              <w:t>sol suppressif / sols suppressifs</w:t>
            </w:r>
          </w:p>
        </w:tc>
        <w:tc>
          <w:tcPr>
            <w:tcW w:type="dxa" w:w="2880"/>
          </w:tcPr>
          <w:p>
            <w:r>
              <w:t>suppressive soil / disease suppressive soil</w:t>
            </w:r>
          </w:p>
        </w:tc>
        <w:tc>
          <w:tcPr>
            <w:tcW w:type="dxa" w:w="2880"/>
          </w:tcPr>
          <w:p>
            <w:r>
              <w:t>résistance du sol aux maladies · capacité suppressive</w:t>
            </w:r>
          </w:p>
        </w:tc>
      </w:tr>
      <w:tr>
        <w:tc>
          <w:tcPr>
            <w:tcW w:type="dxa" w:w="2880"/>
          </w:tcPr>
          <w:p>
            <w:r>
              <w:t>stratégie Y-A-S (Rendement-Acquisition-Stress)</w:t>
            </w:r>
          </w:p>
        </w:tc>
        <w:tc>
          <w:tcPr>
            <w:tcW w:type="dxa" w:w="2880"/>
          </w:tcPr>
          <w:p>
            <w:r>
              <w:t>Y-A-S strategy (Yield-Acquisition-Stress)</w:t>
            </w:r>
          </w:p>
        </w:tc>
        <w:tc>
          <w:tcPr>
            <w:tcW w:type="dxa" w:w="2880"/>
          </w:tcPr>
          <w:p>
            <w:r>
              <w:t>stratégie Rendement-Acquisition-Stress</w:t>
            </w:r>
          </w:p>
        </w:tc>
      </w:tr>
      <w:tr>
        <w:tc>
          <w:tcPr>
            <w:tcW w:type="dxa" w:w="2880"/>
          </w:tcPr>
          <w:p>
            <w:r>
              <w:t>strigolactone</w:t>
            </w:r>
          </w:p>
        </w:tc>
        <w:tc>
          <w:tcPr>
            <w:tcW w:type="dxa" w:w="2880"/>
          </w:tcPr>
          <w:p>
            <w:r>
              <w:t>strigolactone</w:t>
            </w:r>
          </w:p>
        </w:tc>
        <w:tc>
          <w:tcPr>
            <w:tcW w:type="dxa" w:w="2880"/>
          </w:tcPr>
          <w:p>
            <w:r/>
          </w:p>
        </w:tc>
      </w:tr>
      <w:tr>
        <w:tc>
          <w:tcPr>
            <w:tcW w:type="dxa" w:w="2880"/>
          </w:tcPr>
          <w:p>
            <w:r>
              <w:t>strigolactones</w:t>
            </w:r>
          </w:p>
        </w:tc>
        <w:tc>
          <w:tcPr>
            <w:tcW w:type="dxa" w:w="2880"/>
          </w:tcPr>
          <w:p>
            <w:r>
              <w:t>strigolactones</w:t>
            </w:r>
          </w:p>
        </w:tc>
        <w:tc>
          <w:tcPr>
            <w:tcW w:type="dxa" w:w="2880"/>
          </w:tcPr>
          <w:p>
            <w:r/>
          </w:p>
        </w:tc>
      </w:tr>
      <w:tr>
        <w:tc>
          <w:tcPr>
            <w:tcW w:type="dxa" w:w="2880"/>
          </w:tcPr>
          <w:p>
            <w:r>
              <w:t>supernodulation</w:t>
            </w:r>
          </w:p>
        </w:tc>
        <w:tc>
          <w:tcPr>
            <w:tcW w:type="dxa" w:w="2880"/>
          </w:tcPr>
          <w:p>
            <w:r>
              <w:t>supernodulation</w:t>
            </w:r>
          </w:p>
        </w:tc>
        <w:tc>
          <w:tcPr>
            <w:tcW w:type="dxa" w:w="2880"/>
          </w:tcPr>
          <w:p>
            <w:r/>
          </w:p>
        </w:tc>
      </w:tr>
      <w:tr>
        <w:tc>
          <w:tcPr>
            <w:tcW w:type="dxa" w:w="2880"/>
          </w:tcPr>
          <w:p>
            <w:r>
              <w:t>suppressivité</w:t>
            </w:r>
          </w:p>
        </w:tc>
        <w:tc>
          <w:tcPr>
            <w:tcW w:type="dxa" w:w="2880"/>
          </w:tcPr>
          <w:p>
            <w:r>
              <w:t>suppressiveness</w:t>
            </w:r>
          </w:p>
        </w:tc>
        <w:tc>
          <w:tcPr>
            <w:tcW w:type="dxa" w:w="2880"/>
          </w:tcPr>
          <w:p>
            <w:r>
              <w:t>effet suppressif</w:t>
            </w:r>
          </w:p>
        </w:tc>
      </w:tr>
      <w:tr>
        <w:tc>
          <w:tcPr>
            <w:tcW w:type="dxa" w:w="2880"/>
          </w:tcPr>
          <w:p>
            <w:r>
              <w:t>taxon clé de voûte</w:t>
            </w:r>
          </w:p>
        </w:tc>
        <w:tc>
          <w:tcPr>
            <w:tcW w:type="dxa" w:w="2880"/>
          </w:tcPr>
          <w:p>
            <w:r>
              <w:t>keystone taxon</w:t>
            </w:r>
          </w:p>
        </w:tc>
        <w:tc>
          <w:tcPr>
            <w:tcW w:type="dxa" w:w="2880"/>
          </w:tcPr>
          <w:p>
            <w:r/>
          </w:p>
        </w:tc>
      </w:tr>
      <w:tr>
        <w:tc>
          <w:tcPr>
            <w:tcW w:type="dxa" w:w="2880"/>
          </w:tcPr>
          <w:p>
            <w:r>
              <w:t>traits d'assemblage du microbiome</w:t>
            </w:r>
          </w:p>
        </w:tc>
        <w:tc>
          <w:tcPr>
            <w:tcW w:type="dxa" w:w="2880"/>
          </w:tcPr>
          <w:p>
            <w:r>
              <w:t>microbiome-assembly traits</w:t>
            </w:r>
          </w:p>
        </w:tc>
        <w:tc>
          <w:tcPr>
            <w:tcW w:type="dxa" w:w="2880"/>
          </w:tcPr>
          <w:p>
            <w:r/>
          </w:p>
        </w:tc>
      </w:tr>
      <w:tr>
        <w:tc>
          <w:tcPr>
            <w:tcW w:type="dxa" w:w="2880"/>
          </w:tcPr>
          <w:p>
            <w:r>
              <w:t>transition de style de vie microbien</w:t>
            </w:r>
          </w:p>
        </w:tc>
        <w:tc>
          <w:tcPr>
            <w:tcW w:type="dxa" w:w="2880"/>
          </w:tcPr>
          <w:p>
            <w:r>
              <w:t>microbial lifestyle transition</w:t>
            </w:r>
          </w:p>
        </w:tc>
        <w:tc>
          <w:tcPr>
            <w:tcW w:type="dxa" w:w="2880"/>
          </w:tcPr>
          <w:p>
            <w:r/>
          </w:p>
        </w:tc>
      </w:tr>
      <w:tr>
        <w:tc>
          <w:tcPr>
            <w:tcW w:type="dxa" w:w="2880"/>
          </w:tcPr>
          <w:p>
            <w:r>
              <w:t>vésicule extracellulaire</w:t>
            </w:r>
          </w:p>
        </w:tc>
        <w:tc>
          <w:tcPr>
            <w:tcW w:type="dxa" w:w="2880"/>
          </w:tcPr>
          <w:p>
            <w:r>
              <w:t>extracellular vesicle (EV)</w:t>
            </w:r>
          </w:p>
        </w:tc>
        <w:tc>
          <w:tcPr>
            <w:tcW w:type="dxa" w:w="2880"/>
          </w:tcPr>
          <w:p>
            <w:r/>
          </w:p>
        </w:tc>
      </w:tr>
      <w:tr>
        <w:tc>
          <w:tcPr>
            <w:tcW w:type="dxa" w:w="2880"/>
          </w:tcPr>
          <w:p>
            <w:r>
              <w:t>évolution convergente</w:t>
            </w:r>
          </w:p>
        </w:tc>
        <w:tc>
          <w:tcPr>
            <w:tcW w:type="dxa" w:w="2880"/>
          </w:tcPr>
          <w:p>
            <w:r>
              <w:t>convergent evolution (PM)</w:t>
            </w:r>
          </w:p>
        </w:tc>
        <w:tc>
          <w:tcPr>
            <w:tcW w:type="dxa" w:w="2880"/>
          </w:tcPr>
          <w:p>
            <w:r/>
          </w:p>
        </w:tc>
      </w:tr>
      <w:tr>
        <w:tc>
          <w:tcPr>
            <w:tcW w:type="dxa" w:w="2880"/>
          </w:tcPr>
          <w:p>
            <w:r>
              <w:t>évolution réductive</w:t>
            </w:r>
          </w:p>
        </w:tc>
        <w:tc>
          <w:tcPr>
            <w:tcW w:type="dxa" w:w="2880"/>
          </w:tcPr>
          <w:p>
            <w:r>
              <w:t>reductive evolution</w:t>
            </w:r>
          </w:p>
        </w:tc>
        <w:tc>
          <w:tcPr>
            <w:tcW w:type="dxa" w:w="2880"/>
          </w:tcPr>
          <w:p>
            <w:r/>
          </w:p>
        </w:tc>
      </w:tr>
    </w:tbl>
    <w:p/>
    <w:p>
      <w:pPr>
        <w:jc w:val="center"/>
      </w:pPr>
      <w:r>
        <w:rPr>
          <w:color w:val="999999"/>
          <w:sz w:val="18"/>
        </w:rPr>
        <w:t>────────────────────────────────────────</w:t>
      </w:r>
    </w:p>
    <w:p>
      <w:pPr>
        <w:pStyle w:val="Heading1"/>
      </w:pPr>
      <w:r>
        <w:t>Introduction</w:t>
      </w:r>
    </w:p>
    <w:p>
      <w:r>
        <w:t>Les champignons représentent 75% de la biomasse microbienne du sol. Leur réseau construit la structure.</w:t>
      </w:r>
    </w:p>
    <w:p/>
    <w:p>
      <w:r>
        <w:t>→ Les saprotrophes sont des POURVOYEURS D'EAU, pas seulement des décomposeurs. Ils remontent l'eau du sol vers le mulch par capillarité hyphique pour dégrader la lignine (enzymes extracellulaires hydrauliques). Ils colonisent le broyat AVANT les CMA.</w:t>
        <w:br/>
        <w:t>→ Les saprotrophes CULTIVENT des bactéries dans les films d'eau hyphiques : exsudats fongiques (oxalate, sucres) → recrutement sélectif de fixateurs N et solubilisateurs P. C'est la rhizophagie version fongique.</w:t>
        <w:br/>
        <w:t>→ La nécromasse fongique (chitine, mélanine, glomaline) = le carbone-structure (gîte de Husson). Elle se lie aux argiles/bentonite pour former la MAOM. Le champignon meurt mais son cadavre construit le sol.</w:t>
        <w:br/>
        <w:t>→ Cascade hydraulique : saprotrophes (transport eau dans broyat) PUIS CMA (livraison eau à la plante). Deux réseaux superposés, complémentaires.</w:t>
      </w:r>
    </w:p>
    <w:p>
      <w:r>
        <w:t>La stœchiométrie microbienne : Le pivot des cycles C, N, P et S</w:t>
        <w:br/>
        <w:t>La cohérence chimique entre les cycles élémentaires est assurée par l'homéostasie des microorganismes. Ces derniers doivent maintenir un rapport constant entre le carbone, l'azote, le phosphore et le soufre pour construire leur biomasse (Vogel, 2015).</w:t>
        <w:br/>
        <w:t>Minéralisation et immobilisation : Si le rapport C/N du substrat est trop élevé, les microorganismes immobilisent l'azote minéral du sol, ralentissant temporairement la disponibilité pour les plantes (Lemanceau et al., 2017). À l'inverse, un excès de carbone stimule la minéralisation du phosphore et du soufre organiques par la sécrétion d'enzymes extracellulaires spécifiques (“Dynamic Effects of Soil Mineral Ion-Microorganism Interactions on Phosphorus-Sulfur Cycling Revealed by</w:t>
      </w:r>
    </w:p>
    <w:p>
      <w:r>
        <w:t>§1 Introduction: Cette fiche est une revue critique de la thèse selon laquelle le microbiome du sol vivant amplifie la thermotolérance des plantes cultivées. Elle examine 7 mécanismes avec niveaux de preuve, référence</w:t>
        <w:br/>
        <w:t>§2 Tolérance systémique induite par les PGPR: ACC déaminase, biofilms EPS, osmolytes, épigénétique. Niveau de preuve : FORT.</w:t>
        <w:br/>
        <w:t>§3 Microbiome et thermotolérance foliaire: Hernandes Villani et al., soja. Niveau de preuve : FORT.</w:t>
        <w:br/>
        <w:t>§4 Remontée hydraulique et réseaux mycorhiziens: Accès micropores, transport deutéré. Niveau de preuve : MODÉRÉ à FORT.</w:t>
        <w:br/>
        <w:t>§5 Fenêtre thermique et chauffage racinaire: Sol tampon thermique, priming thermique + micro-organismes. Niveaux de preuve : MODÉRÉ à FORT.</w:t>
      </w:r>
    </w:p>
    <w:p>
      <w:r>
        <w:t>## Introduction</w:t>
        <w:br/>
        <w:t>Les champignons entomopathogènes, tels que Beauveria bassiana et Metarhizium anisopliae, sont traditionnellement reconnus pour leur capacité à parasiter et à éliminer une large gamme d'insectes ravageurs (Vivekanandhan et al., 2024) Cependant, les recherches récentes marquent un changement de paradigme : ces micro-organismes ne sont plus perçus uniquement comme des "tueurs d'insectes", mais comme des acteurs écologiques polyvalents occupant des fonctions trophiques multiples dans l'écosystème du sol (Liu et al., 2025)</w:t>
      </w:r>
    </w:p>
    <w:p>
      <w:r>
        <w:t>#### Le sol : un réservoir et un sanctuaire</w:t>
        <w:br/>
        <w:t>Le sol constitue le principal réservoir naturel des CEP, leur offrant un environnement protecteur contre les radiations UV et les fluctuations climatiques extrêmes (Vega et al., 2009) Dans cet habitat, ils persistent sous forme de propagules (conidies) (Lacey et al., 2015) et interagissent activement avec la rhizosphère (Mwamburi, 2021) La diversité des CEP telluriques est telle que de nouvelles espèces continuent d'être découvertes, soulignant l'importance du sol comme moteur de leur biodiversité(Liu et al., 2025)</w:t>
      </w:r>
    </w:p>
    <w:p>
      <w:r>
        <w:t>#### Une "double identité" fonctionnelle</w:t>
        <w:br/>
        <w:t>L'une des découvertes majeures de ces dernières années réside dans la capacité des CEP à établir des relations symbiotiques avec les plantes. En tant qu'endophytes, ils colonisent les tissus internes (racines, tiges, feuilles) sans causer de dommages, offrant ainsi une protection systémique contre les bioagresseurs (Sharma &amp; Sharma, 2021) Au-delà de la protection, ils agissent comme des biostimulants, favorisant la croissance végétale par une meilleure acquisition des nutriments et la production de phytohormones (Ahsan et al., 2024)</w:t>
        <w:br/>
        <w:t>Dans le contexte actuel de transition agroécologique, les CEP représentent une alternative durable aux pesticides chimiques (Yadav et al., 2025) Leur intégration dans les systèmes de culture permet non seulement de réguler les populations de ravageurs, mais aussi d'améliorer la santé globale du sol en favorisant la diversité microbienne (Vivekanandhan et al., 2024) Malgré des défis liés à leur sensibilité environnementale (température, humidité), les avancées en biotechnologie, notamment les formulations innovantes comme la microencapsulation, ouvrent la voie à une utilisation plus fiable et efficace en plein champ (Yadav et al., 2025)</w:t>
      </w:r>
    </w:p>
    <w:p>
      <w:r>
        <w:t>## 1. Taxonomie et écologie dans le sol</w:t>
        <w:br/>
        <w:t>Le sol n'est pas seulement un support physique pour les CEP, c'est un écosystème complexe où leur survie et leur efficacité dépendent d'une taxonomie précise et d'interactions environnementales fines.</w:t>
      </w:r>
    </w:p>
    <w:p>
      <w:r>
        <w:t>#### 1.1. Diversité taxonomique et "diversité cachée"</w:t>
        <w:br/>
        <w:t>La classification des CEP a radicalement évolué grâce aux outils de biologie moléculaire. Appartenant majoritairement à l'ordre des Hypocreales, les genres les plus étudiés sont Beauveria (famille des Cordycipitaceae) et Metarhizium (famille des Clavicipitaceae)(Branine et al., 2019)</w:t>
        <w:br/>
        <w:t>L'évolution des méthodes d'identification : Alors que l'identification reposait autrefois sur la morphologie ou le seul gène ITS, les recherches de 2023-2024 privilégient désormais la phylogénie multilocus (utilisant des gènes comme tef1a, rpb1, rpb2 et bloc) (Kutalmış et al., 2023; Rizal et al., 2023)</w:t>
        <w:br/>
        <w:t>Découverte d'espèces cryptiques : L'utilisation du séquençage du génome complet et de l'analyse des SNP a révélé une "diversité cachée" au sein des complexes d'espèces comme Beauveria bassiana et Metarhizium anisopliae (Rizal et al., 2023) Ces analyses permettent de distinguer des souches morphologiquement identiques mais génétiquement distinctes, souvent adaptées à des niches écologiques spécifiques (Rizal et al., 2023)</w:t>
        <w:br/>
        <w:t>Expansion constante : De nouvelles espèces continuent d'être isolées directement du sol, comme c'est le cas pour trois nouvelles espèces découvertes récemment en Chine, enrichissant le catalogue des agents potentiels de biocontrôle (Liu et al., 2025)</w:t>
      </w:r>
    </w:p>
    <w:p>
      <w:r>
        <w:t>#### 1.2. Écologie et persistance tellurique</w:t>
        <w:br/>
        <w:t>Le sol agit comme une "banque de propagules" où les conidies (spores) peuvent persister pendant de longues périodes, à l'abri des rayons UV qui sont leur principal facteur de dégradation en surface(Quesada‐Moraga et al., 2023; Sharma &amp; Sharma, 2021)</w:t>
        <w:br/>
        <w:t>Facteurs abiotiques clés :</w:t>
        <w:br/>
        <w:t>Texture et humidité : La persistance est généralement plus élevée dans les sols riches en argile et en matière organique, qui retiennent mieux l'humidité nécessaire à la survie des spores(HALLOUTI et al., 2020; Hallouti et al., 2020)</w:t>
        <w:br/>
        <w:t>Température et pH : Chaque espèce possède un optimum thermique (souvent entre 20°C et 30°C)(Agbessenou et al., 2021; Qayyum et al., 2021) Le pH du sol influence également la germination : des pH extrêmes peuvent inhiber la croissance mycélienne(Hallouti et al., 2020; Wei et al., 2024)</w:t>
        <w:br/>
        <w:t>Distribution spatiale : Contrairement aux idées reçues, les CEP ne sont pas limités aux milieux forestiers ou agricoles. On les trouve dans une grande variété d'habitats, incluant les prairies, les vergers, les zones urbaines et même les parcs suburbains(Gielen et al., 2024) Cette ubiquité souligne leur rôle écologique majeur dans la régulation naturelle des populations d'insectes à l'échelle globale (Wint et al., 2024)</w:t>
        <w:br/>
        <w:t>Stratégies de survie : En l'absence d'hôtes insectes, les CEP peuvent survivre en utilisant la matière organique du sol ou en s'associant aux racines des plantes(Mwamburi, 2021; Sharma &amp; Sharma, 2021) une transition vers leur "double identité" de symbiotes.</w:t>
      </w:r>
    </w:p>
    <w:p>
      <w:r>
        <w:t>## 2. Double identité entomopathogène et endophyte</w:t>
        <w:br/>
        <w:t>La recherche contemporaine a démontré que les CEP possèdent une "double vie" : ils alternent entre une phase pathogène pour les insectes et une phase symbiotique à l'intérieur des tissus végétaux(Branine et al., 2019) Cette capacité à vivre en tant qu'endophytes redéfinit leur rôle écologique et leur potentiel en tant qu'agents de protection biologique intégrée.</w:t>
      </w:r>
    </w:p>
    <w:p>
      <w:r>
        <w:t>#### 2.1. Le concept d'endophytisme chez les CEP</w:t>
        <w:br/>
        <w:t>L'endophytisme se définit par la colonisation des tissus internes d'une plante par un micro-organisme sans provoquer de symptômes de maladie(Hendra et al., 2026)</w:t>
        <w:br/>
        <w:t>Espèces polyvalentes : Beauveria bassiana et Metarhizium anisopliae sont les exemples les plus documentés(Bamisile et al., 2021) Elles sont capables de coloniser une vaste gamme de cultures, incluant le maïs, le blé et le café(Saif et al., 2024) et al., 2022)</w:t>
        <w:br/>
        <w:t>Colonisation systémique : Une fois entrés, Beauveria bassiana peut se déplacer de manière systémique à travers les tissus vasculaires, protégeant ainsi des parties de la plante éloignées du point d'inoculation initial, tandis que Metarhizium anisopliae est souvent localisé aux sites d'inoculation (Gebramariam et al., 2022)</w:t>
      </w:r>
    </w:p>
    <w:p>
      <w:r>
        <w:t>#### 2.2. Mécanismes de pénétration et d'établissement</w:t>
        <w:br/>
        <w:t>Les CEP utilisent des stratégies sophistiquées pour pénétrer la barrière végétale(Bernonville, 2009) souvent similaires à celles utilisées pour infecter la cuticule des insectes(Touré, 2018)</w:t>
        <w:br/>
        <w:t>Voies d'entrée : La colonisation peut se faire par les racines (via le sol), les feuilles (pulvérisation), ou même par le traitement des semences(Francis et al., 2022) Le traitement des semences est de plus en plus privilégié car il assure une présence fongique dès les premiers stades de développement de la plantule(Ayesha et al., 2021)</w:t>
        <w:br/>
        <w:t>Adaptation moléculaire : Le champignon déploie des enzymes (protéases, chitinases) et des métabolites secondaires pour franchir les parois cellulaires végétales tout en modulant les réponses immunitaires de la plante pour éviter d'être rejeté(Jashni et al., 2015)</w:t>
      </w:r>
    </w:p>
    <w:p>
      <w:r>
        <w:t>#### 2.3. Une stratégie de survie évolutive</w:t>
        <w:br/>
        <w:t>L’endophytisme implique un avantage nutritionnel, considéré comme une base adaptative centrale pour ce mode de vie(Lannou et al., 2012) :</w:t>
        <w:br/>
        <w:t>Protection contre l'environnement : À l'intérieur de la plante, les CEP sont totalement protégés des rayons UV nocifs et de la dessiccation, ce qui augmente considérablement leur persistance par rapport aux spores restant à la surface du sol ou des feuilles(Jamunarani et al., 2022)</w:t>
        <w:br/>
        <w:t>Accès aux nutriments : En période de rareté d'hôtes insectes, le champignon bénéficie des hydrates de carbone fournis par la plante, assurant ainsi la pérennité de son inoculum dans l'écosystème(Bamisile et al., 2021)</w:t>
        <w:br/>
        <w:t>Le "garde du corps" interne : En retour, le champignon offre une protection continue contre les ravageurs. Par exemple, des études récentes sur la tomate ont montré que la colonisation endophytique par B. bassiana réduit significativement les populations de chenilles comme Spodoptera frugiperda(Mwamburi, 2021)</w:t>
      </w:r>
    </w:p>
    <w:p>
      <w:r>
        <w:t>## 3. Effets sur la plante hôte</w:t>
        <w:br/>
        <w:t>L'interaction entre les champignons entomopathogènes et la plante hôte dépasse la simple protection contre les insectes. Elle induit des changements physiologiques et biochimiques profonds qui améliorent la vigueur globale de la culture (Ahsan et al., 2024)</w:t>
      </w:r>
    </w:p>
    <w:p>
      <w:r>
        <w:t>#### 3.1. Promotion de la croissance</w:t>
        <w:br/>
        <w:t>L'inoculation de CEP, que ce soit par traitement des semences ou irrigation du sol, entraîne souvent une augmentation mesurable de la biomasse végétale (Liu et al., 2022)</w:t>
        <w:br/>
        <w:t>Indicateurs de croissance : Des études sur le maïs et la tomate ont montré une augmentation significative de la hauteur des tiges ainsi que du poids frais et sec des tissus (Liu et al., 2022; Sani et al., 2023) Pour le maïs, une augmentation de la longueur des racines a également été démontrée(Liu et al., 2022)</w:t>
        <w:br/>
        <w:t>Amélioration racinaire : Des genres comme Metarhizium stimulent particulièrement le développement des racines latérales et des poils absorbants, augmentant ainsi la surface d'échange avec le sol(Oba et al., 2024)</w:t>
      </w:r>
    </w:p>
    <w:p>
      <w:r>
        <w:t>#### 3.2. Acquisition et transfert des nutriments</w:t>
        <w:br/>
        <w:t>Les CEP agissent comme des "ponts" nutritionnels entre le sol et la plante, facilitant l'accès à des ressources autrement peu disponibles(Fite et al., 2023)</w:t>
        <w:br/>
        <w:t>Le cycle de l'azote : Metarhizium est capable de transférer l'azote provenant de la décomposition des insectes directement à la plante hôte, un avantage évolutif majeur en sols pauvres (Bamisile et al., 2021; Samal et al., 2023)</w:t>
        <w:br/>
        <w:t>Solubilisation du phosphore et du fer : De nombreuses souches de B. bassiana produisent des acides organiques et des sidérophores. Ces composés transforment le phosphore insoluble et le fer en formes assimilables par les racines(Bamisile et al., 2021; Sánchez‐Rodríguez et al., 2017)</w:t>
      </w:r>
    </w:p>
    <w:p>
      <w:r>
        <w:t>#### 3.3. Modulation hormonale et signalisation</w:t>
        <w:br/>
        <w:t>L'effet biostimulant des CEP est étroitement lié à leur capacité à synthétiser ou à moduler les hormones de croissance végétales(Bamisile et al., 2021)</w:t>
        <w:br/>
        <w:t>Production de phytohormones : Les CEP produisent des auxines (notamment l'acide indole-3-acétique ou AIA), des cytokinines et des gibberellines(Bamisile et al., 2021) hormones régulent la division cellulaire, la différenciation des tissus et la germination des semences (Bamisile et al., 2021)</w:t>
        <w:br/>
        <w:t>Réponse immunitaire induite : Lors de la colonisation précoce (notamment chez le blé), les CEP provoquent une modulation des gènes liés à l'immunité, déclenchant une résistance systémique induite (González‐Guzmán et al., 2022) Cette "préparation" permet à la plante de réagir plus rapidement et plus vigoureusement aux attaques futures de pathogènes ou de ravageurs(Kumar, 2024)</w:t>
      </w:r>
    </w:p>
    <w:p>
      <w:r>
        <w:t>#### 3.4. Résistance aux stress abiotiques</w:t>
        <w:br/>
        <w:t>Au-delà de la croissance, l'endophytisme renforce la résilience de la plante face aux aléas climatiques(Fite et al., 2023) plantes colonisées par des CEP montrent une meilleure tolérance au stress hydrique (sécheresse), à la salinité et aux températures extrêmes, grâce à une meilleure gestion de l'eau et une protection antioxydante accrue(Dargiri et al., 2024)</w:t>
      </w:r>
    </w:p>
    <w:p>
      <w:r>
        <w:t>## 4. Interactions dans le microbiome du sol</w:t>
        <w:br/>
        <w:t>Le sol est un théâtre d'interactions complexes où les CEP ne se contentent pas de survivre, mais façonnent activement la structure des communautés microbiennes environnantes(Matveev et al., 2025)</w:t>
      </w:r>
    </w:p>
    <w:p>
      <w:r>
        <w:t>#### 4.1. Compétition et survie dans la rhizosphère</w:t>
        <w:br/>
        <w:t>La rhizosphère est la zone de forte activité biologique entourant les racines, où les CEP doivent s'établir face à une concurrence féroce(Amira, 2018; Quesada‐Moraga et al., 2022)</w:t>
        <w:br/>
        <w:t>Compétition pour les ressources : Les CEP rivalisent avec d'autres champignons et bactéries telluriques pour l'accès au carbone et à l'espace. Leur capacité à persister sous forme de conidies ou à coloniser les racines leur donne un avantage stratégique en période de stress nutritionnel(Dzięgielewska &amp; Adamska, 2020)</w:t>
        <w:br/>
        <w:t>Diversité et résilience : Contrairement aux pesticides chimiques qui appauvrissent la vie du sol en réduisant la diversité microbienne, l'application de CEP comme Beauveria ou Metarhizium est plus respectueuse de l'écosystème, favorisant l'augmentation d'organismes bénéfiques et le maintien d'un sol sain(Barelli et al., 2020; Devi et al., 2018)</w:t>
      </w:r>
    </w:p>
    <w:p>
      <w:r>
        <w:t>#### 4.2. Synergies avec les micro-organismes bénéfiques</w:t>
        <w:br/>
        <w:t>Les recherches récentes mettent en lumière des collaborations fructueuses entre les CEP et d'autres alliés de la plante(Liu et al., 2023; Wakil et al., 2020)</w:t>
        <w:br/>
        <w:t>Interaction avec les Mycorhizes : Il existe des preuves de compatibilité entre les CEP et les champignons mycorhiziens à arbuscules. Ensemble, ils peuvent offrir une protection "double couche" : les CMA sont connues pour améliorer l'absorption hydrique et minérale(Guissou et al., 2016) et les CEP protègent contre les ravageurs souterrains et aériens(Samal et al., 2023)</w:t>
        <w:br/>
        <w:t>Coopération avec les PGPR : Les bactéries promotrices de croissance, comme les genres Pseudomonas ou Bacillus, peuvent agir en synergie avec les CEP. Ces bactéries peuvent stimuler la germination des spores fongiques, ou produire des substances comme des antibiotiques ou des siderophores qui éliminent les compétiteurs des CEP, facilitant ainsi leur établissement(Bamisile et al., 2021)</w:t>
      </w:r>
    </w:p>
    <w:p>
      <w:r>
        <w:t>#### 4.3. Antagonisme contre les pathogènes du sol</w:t>
        <w:br/>
        <w:t>Les CEP jouent un rôle de "nettoyeurs" en limitant le développement de certains agents pathogènes phytophages (champignons et bactéries causant des maladies aux plantes)(Sharma &amp; Sharma, 2021)</w:t>
        <w:br/>
        <w:t>Effet fongistatique : Grâce à la production de métabolites secondaires (comme la beauvéricine ou les destruxines), les CEP peuvent inhiber la croissance de pathogènes racinaires responsables de la fonte des semis ou des pourritures racinaires(Bamisile et al., 2021; Soesanto et al., 2021)</w:t>
        <w:br/>
        <w:t>Occupation de niche : En colonisant précocement la zone racinaire, les CEP empêchent physiquement les pathogènes de se fixer, réduisant ainsi l'incidence des maladies telluriques sans recours à des fongicides de synthèse(Miranda‐Fuentes et al., 2020; Rivas-Franco et al., 2020)</w:t>
      </w:r>
    </w:p>
    <w:p>
      <w:r>
        <w:t>#### 4.4. Impact de la gestion agricole sur le microbiome</w:t>
        <w:br/>
        <w:t>L'équilibre des CEP dans le microbiome est sensible aux pratiques culturales(Rochefort, 2020) :</w:t>
        <w:br/>
        <w:t>Apports organiques : L'ajout de matière organique stimule la biodiversité du sol, ce qui favorise indirectement les CEP en créant un environnement propice à leur cycle de vie saprophytique (non pathogène)(Elkhateeb et al., 2021; Quesada‐Moraga et al., 2023)</w:t>
        <w:br/>
        <w:t>Travail du sol : Un labour intensif peut perturber les réseaux mycéliens et la distribution des spores, soulignant l'importance des techniques de conservation du sol pour maintenir des populations indigènes de CEP efficaces(Martin, 2025; Samson, 2021)</w:t>
      </w:r>
    </w:p>
    <w:p>
      <w:r>
        <w:t>## 5. CEP et méthodes de biostimulation indigène</w:t>
        <w:br/>
        <w:t>Favoriser les populations indigènes de champignons entomopathogènes est une stratégie durable qui capitalise sur l'adaptation naturelle des souches locales au climat et au type de sol spécifique(Quesada‐Moraga et al., 2023)</w:t>
      </w:r>
    </w:p>
    <w:p>
      <w:r>
        <w:t>#### 5.1. Avantages des souches indigènes</w:t>
        <w:br/>
        <w:t>Les souches locales présentent souvent une meilleure persistance que les produits commerciaux introduits, car elles ont co-évolué avec les ravageurs locaux et les conditions abiotiques du terroir(Quesada‐Moraga et al., 2023) L'utilisation de ces ressources indigènes réduit également les risques de perturbations écologiques liées à l'introduction de micro-organismes non natifs(Stahl et al., 2018)</w:t>
      </w:r>
    </w:p>
    <w:p>
      <w:r>
        <w:t>#### 5.2. Gestion des amendements et fertilisation</w:t>
        <w:br/>
        <w:t>La composition chimique du sol influence directement la vitalité des CEP(Hallouti et al., 2020)</w:t>
        <w:br/>
        <w:t>Synergie avec la fertilisation : Des recherches récentes sur la canne à sucre ont démontré que la combinaison d'une fertilisation minérale et d'une inoculation avec Metarhizium anisopliae booste significativement la croissance initiale de la plante, montrant que les intrants classiques peuvent être compatibles avec une gestion biologique s'ils sont bien dosés (Oba et al., 2024)</w:t>
        <w:br/>
        <w:t>Matière organique : L'apport de compost et de fumier enrichit le réservoir de carbone du sol (Lazcano et al., 2022) ce qui soutient la phase saprophytique des CEP (leur survie hors hôte insecte) et favorise leur multiplication naturelle(HALLOUTI et al., 2020)</w:t>
      </w:r>
    </w:p>
    <w:p>
      <w:r>
        <w:t>#### 5.3. Pratiques culturales favorables</w:t>
        <w:br/>
        <w:t>La conservation des CEP nécessite de minimiser les perturbations physiques et chimiques du sol(Taddei &amp; Fallot, 2023)</w:t>
        <w:br/>
        <w:t>Réduction du travail du sol : Le labour intensif fragmente le réseau mycélien et expose les conidies (spores) aux rayons UV létaux en surface. Les techniques de semis direct ou de travail simplifié du sol aident à maintenir la "banque de spores" dans les horizons protecteurs(Clifton et al., 2015; Nivelle, 2017)</w:t>
        <w:br/>
        <w:t>Cultures de couverture et diversité : Maintenir une couverture végétale permanente (plantes de couverture, intercultures) fournit des niches écologiques et des exsudats racinaires qui attirent et nourrissent les CEP, tout en offrant des hôtes alternatifs pour maintenir leur cycle de reproduction(Vega et al., 2009; Vukicevich et al., 2016)</w:t>
      </w:r>
    </w:p>
    <w:p>
      <w:r>
        <w:t>#### 5.4. Réduction de la pression chimique</w:t>
        <w:br/>
        <w:t>L'un des leviers majeurs de biostimulation est la réduction des fongicides de synthèse(Malausa et al., 2018)</w:t>
        <w:br/>
        <w:t>Compatibilité : De nombreux fongicides chimiques ont des effets non intentionnels dévastateurs sur les populations indigènes de Beauveria et Metarhizium (Yadav et al., 2025)</w:t>
        <w:br/>
        <w:t>Transition agroécologique : En remplaçant progressivement les pesticides à large spectre par des solutions ciblées ou des CEP, on permet aux populations naturelles de se reconstituer, créant ainsi un effet de "fond" protecteur permanent contre les ravageurs telluriques(Elouattassi et al., 2023; Rogge et al., 2017)</w:t>
      </w:r>
    </w:p>
    <w:p>
      <w:r>
        <w:t>#### 5.5. Méthodes d'activation</w:t>
        <w:br/>
        <w:t>Des techniques émergentes suggèrent que les conditions environnementales pendant la culture, telles que la composition nutritive ou les traitements de stress, peuvent influencer les caractéristiques des spores dormantes, y compris leur vitesse et leur efficacité de germination(Emri et al., 2022)</w:t>
      </w:r>
    </w:p>
    <w:p>
      <w:r>
        <w:t>## 6. Implications pratiques</w:t>
        <w:br/>
        <w:t>La transition de la recherche en laboratoire vers l'application au champ nécessite une compréhension des contraintes environnementales et l'adoption de techniques de formulation innovantes pour garantir l'efficacité des CEP(Lacey et al., 2015)</w:t>
      </w:r>
    </w:p>
    <w:p>
      <w:r>
        <w:t>#### 6.1. Modes d'application et de livraison</w:t>
        <w:br/>
        <w:t>Le choix de la méthode d'application dépend de la cible (ravageur souterrain ou aérien) et du stade de la culture(Rilaković et al., 2025)</w:t>
        <w:br/>
        <w:t>Traitement des semences : C'est l'une des méthodes les plus prometteuses. Elle assure une colonisation endophytique précoce et protège la plantule dès la germination(Muvea et al., 2014; Shaalan et al., 2023)</w:t>
        <w:br/>
        <w:t>Trempage des racines : Très efficace pour les cultures repiquées (comme la tomate), cette méthode favorise l'établissement immédiat du champignon dans la rhizosphère(Fenibo &amp; Matambo, 2025)</w:t>
        <w:br/>
        <w:t>Application au sol : L'épandage de granulés ou l'irrigation avec des suspensions de conidies permet de traiter de grandes surfaces pour réguler les larves de sol (comme les vers blancs)(Chandel et al., 2018; Lacey et al., 2015)</w:t>
      </w:r>
    </w:p>
    <w:p>
      <w:r>
        <w:t>#### 6.2. Innovations dans la formulation</w:t>
        <w:br/>
        <w:t>La sensibilité des spores aux rayons UV et à la dessiccation reste un défi majeur. Les nouvelles formulations visent à pallier ces faiblesses(Quesada‐Moraga et al., 2023; Rodrigues et al., 2016)</w:t>
        <w:br/>
        <w:t>Microencapsulation : Cette technologie enveloppe les conidies dans des polymères protecteurs, prolongeant leur viabilité au champ et permettant une libération contrôlée(Celestino &amp; Oliveira, 2022; Felizatti et al., 2021)</w:t>
        <w:br/>
        <w:t>Formulations huileuses : Les suspensions à base d'huile améliorent l'adhérence des spores sur la cuticule des insectes et les protègent partiellement contre le dessèchement(Grijalba et al., 2018)</w:t>
      </w:r>
    </w:p>
    <w:p>
      <w:r>
        <w:t>#### 6.3. Défis environnementaux et limites</w:t>
        <w:br/>
        <w:t>L'efficacité des CEP n'est pas constante et dépend de plusieurs variables(Abalo et al., 2023)</w:t>
        <w:br/>
        <w:t>Fenêtres climatiques : Les applications doivent idéalement se faire par temps couvert ou en fin de journée pour éviter la dégradation par les UV(Bayramoğlu, 2023) Une humidité relative élevée (supérieure à 96% ou 97%) est nécessaire pour la germination des spores et le développement mycélien de la plupart des champignons entomopathogènes(Qayyum et al., 2021)</w:t>
        <w:br/>
        <w:t>Délai d'action : Contrairement aux produits chimiques à effet de choc, les CEP nécessitent plusieurs jours (3 à 7 jours) pour tuer leur hôte(Elkhateeb et al., 2021) ce qui peut rendre leur adoption difficile dans les situations où une mortalité rapide est requise(Blanford et al., 2011)</w:t>
      </w:r>
    </w:p>
    <w:p>
      <w:r>
        <w:t>#### 6.4. Recommandations pour une gestion intégrée</w:t>
        <w:br/>
        <w:t>Pour maximiser l'impact des CEP, ils doivent être intégrés dans un système global(Vivekanandhan et al., 2024)</w:t>
        <w:br/>
        <w:t>Compatibilité chimique : Éviter l'application simultanée de fongicides à large spectre qui inhibent la croissance des CEP(Rakes et al., 2025)</w:t>
        <w:br/>
        <w:t>Synergie avec la fertilisation : Utiliser les CEP en complément d'amendements organiques pour booster la vigueur initiale de la culture(Singh et al., 2021)</w:t>
        <w:br/>
        <w:t>Surveillance : Utiliser des outils de monitoring des dynamiques des champignons pour identifier les agents les mieux adaptés au contrôle des ravageurs (Wallis &amp; Sisterson, 2024)</w:t>
      </w:r>
    </w:p>
    <w:p>
      <w:r>
        <w:t>#### 6.5. Perspectives d'avenir</w:t>
        <w:br/>
        <w:t>Le futur des CEP réside dans la sélection de souches multifonctionnelles (à la fois insecticides, endophytes et biostimulantes) et dans le développement de bio-insecticides plus stables et faciles à stocker (Bamisile et al., 2021; Couceiro et al., 2025) de bases de données globales sur les interactions hôtes-champignons permettra bientôt de choisir la souche la plus adaptée à chaque type de culture et de ravageur (Wint et al., 2024)</w:t>
      </w:r>
    </w:p>
    <w:p>
      <w:r>
        <w:t>## Enrichissements :</w:t>
      </w:r>
    </w:p>
    <w:p>
      <w:r>
        <w:t>### 1. Mécanismes de transfert de nutriments (Section 3.2)</w:t>
        <w:br/>
        <w:t>La recherche a franchi une étape clé en prouvant le transfert direct d'azote entre l'insecte et la plante via le mycélium fongique(Behie &amp; Bidochka, 2013)</w:t>
        <w:br/>
        <w:t>Transfert d'azote () : Des études utilisant l'isotope ont démontré que Metarhizium robertsii et Beauveria bassiana agissent comme des conduits, transférant l'azote issu des insectes parasités vers les tissus de plantes comme le soja, le blé ou le haricot (Behie &amp; Bidochka, 2013) Ce transfert est bidirectionnel : la plante fournit des sucres (photosynthétats) au champignon en échange de cet azote organique (Bamisile et al., 2021)</w:t>
        <w:br/>
        <w:t>Solubilisation des minéraux : Au-delà de l'azote, les CEP augmentent la biodisponibilité du phosphore, du fer, du potassium et du zinc par minéralisation, facilitant leur absorption par les racines colonisées(Bamisile et al., 2021) et al., 2025)</w:t>
      </w:r>
    </w:p>
    <w:p>
      <w:r>
        <w:t>### 2. Diversité taxonomique et niches écologiques (Section 1.1)</w:t>
        <w:br/>
        <w:t>Pour compléter votre inventaire taxonomique, il est pertinent d'intégrer la diversité des genres au-delà des plus connus.</w:t>
        <w:br/>
        <w:t>Diversité des genres : Outre Beauveria et Metarhizium, le sol abrite des genres importants comme Isaria, Cordyceps, Nomuraea, ainsi que Entomophthora et Akanthomyces (anciennement Lecanicillium) (Fite et al., 2023; Vivekanandhan et al., 2024)</w:t>
        <w:br/>
        <w:t>Niches spécifiques : Des études récentes indiquent que certaines espèces de Metarhizium colonisent également les écosystèmes aquatiques et humides, ce qui élargit leur potentiel d'application au-delà des sols purement agricoles (Tang et al., 2025)</w:t>
      </w:r>
    </w:p>
    <w:p>
      <w:r>
        <w:t>### 3. Antagonisme et immunité végétale (Section 4.3)</w:t>
        <w:br/>
        <w:t>L'interaction avec les pathogènes du sol ne se limite pas à la compétition spatiale(Pommier, 2019)</w:t>
        <w:br/>
        <w:t>Modes d'action multiples : Les CEP luttent contre les maladies via l'antibiose (production de métabolites secondaires), le parasitisme direct des pathogènes et, surtout, l'induction d'une résistance systémique chez l'hôte végétal (Yadav et al., 2025)</w:t>
        <w:br/>
        <w:t>Innocuité : Un point fort à souligner est leur faible impact sur les organismes non-cibles, ce qui préserve la biodiversité fonctionnelle du sol par rapport aux traitements chimiques (Vivekanandhan et al., 2024)</w:t>
      </w:r>
    </w:p>
    <w:p>
      <w:r>
        <w:t>### 4. Innovations dans la formulation et l'application (Section 6.2)</w:t>
        <w:br/>
        <w:t>Les défis de survie des spores dans le sol peuvent être levés par de nouvelles méthodes de livraison(Johnson et al., 2001)</w:t>
        <w:br/>
        <w:t>Microencapsulation et Nano-vecteurs : L'usage de nano-porteurs améliore la précision de la livraison et la viabilité des spores face aux stress environnementaux (Yadav et al., 2025) Des formulations utilisant des microparticules sensibles au pH ont été développées pour permettre une libération ciblée (par exemple, dans l'intestin moyen des larves où le pH est basique) (Martínez et al., 2023)</w:t>
        <w:br/>
        <w:t>Émulsions de Pickering : L'encapsulation de conidies dans des émulsions huile-dans-eau stabilisées par des nanoparticules de silice permet une meilleure adhésion et une protection accrue des propagules fongiques (Martínez et al., 2023)</w:t>
        <w:br/>
        <w:t>Stratégies d'endophytisme : Pour favoriser l'établissement durable du champignon dans la plante, des formulations spécifiques pour le traitement des semences ou sous forme de granulés de semis sont recommandées afin de maintenir les spores à proximité immédiate des tissus racinaires (Krell et al., 2019)</w:t>
      </w:r>
    </w:p>
    <w:p>
      <w:r>
        <w:t>### 5. Lacunes à combler (Section 6.3)</w:t>
        <w:br/>
        <w:t>Facteurs abiotiques : La persistance et l'efficacité des CEP restent fortement corrélées à l'humidité du sol, à la température et au pH, qui peuvent inhiber la germination des spores s'ils sont hors des plages optimales(Li et al., 2009)</w:t>
        <w:br/>
        <w:t>Transmission : Les modes de transmission au sein des populations d'insectes du sol sont : horizontale (entre individus), verticale (entre générations) ou via des vecteurs passifs (Touré, 2018)</w:t>
        <w:br/>
        <w:t>References</w:t>
        <w:br/>
        <w:t>Abalo, M., Scorsetti, A. C., Vianna, F., Russo, M. L., Abajo, J. D., Pelizza, A., &amp; Keswani, C. (2023). Field evaluation of entomopathogenic fungi formulations against Rachiplusia nu (Lepidoptera: Noctuidae) in soybean crop. Journal of Plant Protection Research. https://doi.org/10.24425/jppr.2022.143232</w:t>
        <w:br/>
        <w:t>Agbessenou, A., Akutse, K. S., Yusuf, A. A., Wekesa, S. W., &amp; Khamis, F. M. (2021). Temperature-dependent modelling and spatial prediction reveal suitable geographical areas for deployment of two Metarhizium anisopliae isolates for Tuta absoluta management. Scientific Reports, 11(1). https://doi.org/10.1038/s41598-021-02718-w</w:t>
        <w:br/>
        <w:t>Ahsan, S. M., Injamum-Ul-Hoque, Md., Das, A. K., Rahman, Md. M., Mollah, Md. M. I., Paul, N. C., &amp; Choi, H. W. (2024). Plant–Entomopathogenic Fungi Interaction: Recent Progress and Future Prospects on Endophytism-Mediated Growth Promotion and Biocontrol. Plants, 13(10), 1420. https://doi.org/10.3390/plants13101420</w:t>
        <w:br/>
        <w:t>Amira, M. B. (2018). Etude de la relation mycoparasitaire Trichoderma harzianum avec Fusarium solani chez l’Olivier ; Caractérisations moléculaires et fonctionnelles des aquaporines chez Trichoderma harzianum. HAL (Le Centre Pour La Communication Scientifique Directe). https://hal.inrae.fr/tel-02789193</w:t>
        <w:br/>
        <w:t>Ayesha, M. S., Suryanarayanan, T. S., Nataraja, K. N., Prasad, S. R., &amp; Shaanker, R. U. (2021). Seed Treatment With Systemic Fungicides: Time for Review [Review of Seed Treatment With Systemic Fungicides: Time for Review]. Frontiers in Plant Science, 12. Frontiers Media. https://doi.org/10.3389/fpls.2021.654512</w:t>
        <w:br/>
        <w:t>Bamisile, B. S., Akutse, K. S., Siddiqui, J. A., &amp; Xu, Y. (2021). Model Application of Entomopathogenic Fungi as Alternatives to Chemical Pesticides: Prospects, Challenges, and Insights for Next-Generation Sustainable Agriculture [Review of Model Application of Entomopathogenic Fungi as Alternatives to Chemical Pesticides: Prospects, Challenges, and Insights for Next-Generation Sustainable Agriculture]. Frontiers in Plant Science, 12. Frontiers Media. https://doi.org/10.3389/fpls.2021.741804</w:t>
        <w:br/>
        <w:t>Barelli, L., Waller, A. S., Behie, S. W., &amp; Bidochka, M. (2020). Plant microbiome analysis after Metarhizium amendment reveals increases in abundance of plant growth-promoting organisms and maintenance of disease-suppressive soil. PLoS ONE, 15(4). https://doi.org/10.1371/journal.pone.0231150</w:t>
        <w:br/>
        <w:t>Bayramoğlu, Z. (2023). The UV protectant properties of tea extracts on entomopathogenic fungus spores and their lethal effect on Galleria mellonella (L., 1758) (Lepidoptera: Pyralidae). Turkish Journal of Entomology, 47(4), 363. https://doi.org/10.16970/entoted.1313010</w:t>
        <w:br/>
        <w:t>Behie, S. W., &amp; Bidochka, M. (2013). Ubiquity of Insect-Derived Nitrogen Transfer to Plants by Endophytic Insect-Pathogenic Fungi: an Additional Branch of the Soil Nitrogen Cycle. Applied and Environmental Microbiology, 80(5), 1553. https://doi.org/10.1128/aem.03338-13</w:t>
        <w:br/>
        <w:t>Bernonville, T. D. de. (2009). Histological, molecular and biochemical caracterisations of the compatible and incompatible interactions between Erwinia amylovora, the causative agent of fire blight, and apple tree ( Malus x domestica ). HAL (Le Centre Pour La Communication Scientifique Directe). https://theses.hal.science/tel-00482385</w:t>
        <w:br/>
        <w:t>Blanford, J. I., Shi, W., Christian, R., Marden, J. H., Koekemoer, L. L., Brooke, B. D., Coetzee, M., Read, A. F., &amp; Thomas, M. B. (2011). Lethal and Pre-Lethal Effects of a Fungal Biopesticide Contribute to Substantial and Rapid Control of Malaria Vectors. PLoS ONE, 6(8). https://doi.org/10.1371/journal.pone.0023591</w:t>
        <w:br/>
        <w:t>Branine, M., Bazzicalupo, A., &amp; Branco, S. (2019). Biology and applications of endophytic insect-pathogenic fungi [Review of Biology and applications of endophytic insect-pathogenic fungi]. PLoS Pathogens, 15(7). Public Library of Science. https://doi.org/10.1371/journal.ppat.1007831</w:t>
        <w:br/>
        <w:t>Celestino, M. F., &amp; Oliveira, J. A. dos S. (2022). Métodos de encapsulamento de fungos entomopatogênicos para sua aplicação no controle biológico. Research Society and Development, 11(16). https://doi.org/10.33448/rsd-v11i16.38031</w:t>
        <w:br/>
        <w:t>Chandel, R. S., Soni, S., Vashisth, S., Pathania, M., Mehta, P. K., Rana, A., Bhatnagar, A., &amp; Agrawal, V. (2018). The potential of entomopathogens in biological control of white grubs. International Journal of Pest Management, 65(4), 348. https://doi.org/10.1080/09670874.2018.1524183</w:t>
        <w:br/>
        <w:t>Clifton, E. H., Jaronski, S. T., Hodgson, E. W., &amp; Gassmann, A. J. (2015). Abundance of Soil-Borne Entomopathogenic Fungi in Organic and Conventional Fields in the Midwestern USA with an Emphasis on the Effect of Herbicides and Fungicides on Fungal Persistence. PLoS ONE, 10(7). https://doi.org/10.1371/journal.pone.0133613</w:t>
        <w:br/>
        <w:t>Couceiro, J. C., Wood, M. J., Papadopoulos, A., Silva, J. J., Vontas, J., &amp; Dimopoulos, G. (2025). Development of Mycoinsecticides: Advances in Formulation, Regulatory Challenges and Market Trends for Entomopathogenic Fungi. Journal of Fungi, 12(1), 7. https://doi.org/10.3390/jof12010007</w:t>
        <w:br/>
        <w:t>Dargiri, S. A., Naeimi, S., &amp; Nekouei, M. K. (2024). Endophytic Microorganisms: Harnessing Biological Control for Biotic and Abiotic Stress Management in Plants. In IntechOpen eBooks. IntechOpen. https://doi.org/10.5772/intechopen.1005390</w:t>
        <w:br/>
        <w:t>Devi, Y. B., Meetei, T. T., &amp; Kumari, N. (2018). Impact of Pesticides on Soil Microbial Diversity and Enzymes: A Review [Review of Impact of Pesticides on Soil Microbial Diversity and Enzymes: A Review]. International Journal of Current Microbiology and Applied Sciences, 7(6), 952. Excellent Publishers. https://doi.org/10.20546/ijcmas.2018.706.113</w:t>
        <w:br/>
        <w:t>Dzięgielewska, M., &amp; Adamska, I. (2020). Survey of entomopathogenic nematodes and fungi in agricultural areas. Plant Protection Science, 56(3), 214. https://doi.org/10.17221/7/2019-pps</w:t>
        <w:br/>
        <w:t>Elkhateeb, W. A., Mousa, M., Elnahas, M. O., &amp; Daba, G. M. (2021). Fungi against insects and contrariwise as biological control models. Egyptian Journal of Biological Pest Control, 31(1). https://doi.org/10.1186/s41938-020-00360-8</w:t>
        <w:br/>
        <w:t>Elouattassi, Y., Ferioun, M., Ghachtouli, N. E., Derraz, K., &amp; Rachidi, F. (2023). Agroecological concepts and alternatives to the problems of contemporary agriculture: Monoculture and chemical fertilization in the context of climate change. Journal of Agriculture and Environment for International Development (JAEID), 117(2), 41. https://doi.org/10.36253/jaeid-14672</w:t>
        <w:br/>
        <w:t>Emri, T., Forgács, K., &amp; Pócsi, I. (2022). Biologia futura: combinatorial stress responses in fungi [Review of Biologia futura: combinatorial stress responses in fungi]. Biologia Futura, 73(2), 207. Springer Science+Business Media. https://doi.org/10.1007/s42977-022-00121-8</w:t>
        <w:br/>
        <w:t>Felizatti, A. P., Manzano, R. M., Rodrigues, I. M. W., Silva, M. F. das G. F. da, Fernandes, J. B., &amp; Forim, M. R. (2021). Encapsulation of B. bassiana in Biopolymers: Improving Microbiology of Insect Pest Control. Frontiers in Microbiology, 12. https://doi.org/10.3389/fmicb.2021.704812</w:t>
        <w:br/>
        <w:t>Fenibo, E. O., &amp; Matambo, T. S. (2025). Biopesticides for sustainable agriculture: feasible options for adopting cost-effective strategies. Frontiers in Sustainable Food Systems, 9. https://doi.org/10.3389/fsufs.2025.1657000</w:t>
        <w:br/>
        <w:t>Fite, T., Kebede, E., Tefera, T., &amp; Bekeko, Z. (2023). Endophytic fungi: versatile partners for pest biocontrol, growth promotion, and climate change resilience in plants. Frontiers in Sustainable Food Systems, 7. https://doi.org/10.3389/fsufs.2023.1322861</w:t>
        <w:br/>
        <w:t>Francis, F., Mabola, J. C. F., &amp; Fekih, I. B. (2022). Direct and Endophytic Effects of Fungal Entomopathogens for Sustainable Aphid Control: A Review [Review of Direct and Endophytic Effects of Fungal Entomopathogens for Sustainable Aphid Control: A Review]. Agriculture, 12(12), 2081. Multidisciplinary Digital Publishing Institute. https://doi.org/10.3390/agriculture12122081</w:t>
        <w:br/>
        <w:t>Gebramariam, A., Mekuriaw, E., &amp; Assefa, F. (2022). Effects of Myco-Entomopathogens on Bio-Control of Trialeurodes Vaporariorum, Endophytic Colonization of Tomato, and Compatibility with selected pesticides. Research Square (Research Square). https://doi.org/10.21203/rs.3.rs-1835624/v1</w:t>
        <w:br/>
        <w:t>Gielen, R., Ude, K., Kaasik, A., Põldmaa, K., Teder, T., &amp; Tammaru, T. (2024). Entomopathogenic Fungi as Mortality Agents in Insect Populations: A Review. Ecology and Evolution, 14(12). https://doi.org/10.1002/ece3.70666</w:t>
        <w:br/>
        <w:t>González‐Guzmán, A., Rey, M.-D., Froussart, E., &amp; Quesada‐Moraga, E. (2022). Elucidating the Effect of Endophytic Entomopathogenic Fungi on Bread Wheat Growth through Signaling of Immune Response-Related Hormones. Applied and Environmental Microbiology, 88(18). https://doi.org/10.1128/aem.00882-22</w:t>
        <w:br/>
        <w:t>Grijalba, É., Espinel, C., Cuartas, P., Chaparro, M., &amp; Villamizar, L. (2018). Metarhizium rileyi biopesticide to control Spodoptera frugiperda: Stability and insecticidal activity under glasshouse conditions. Fungal Biology, 122(11), 1069. https://doi.org/10.1016/j.funbio.2018.08.010</w:t>
        <w:br/>
        <w:t>Guissou, T., Babana, A. H., Sanon, K. B., &amp; Bâ, A. (2016). Effects of arbuscular mycorrhizae on growth and mineral nutrition of greenhouse propagated fruit trees from diverse geographic provenances. BASE, 417. https://doi.org/10.25518/1780-4507.13149</w:t>
        <w:br/>
        <w:t>HALLOUTI, A., Hamza, M. A., Zahidi, A., Hammou, R. A., BOUHARROUD, R., Aoumar, A. A. B., &amp; Boubaker, H. (2020a). Diversity of entomopathogenic fungi associated with Mediterranean fruit fly (C. capitata) in Moroccan Argan forests and nearby area: impact of soil factors on their distribution. Research Square (Research Square). https://doi.org/10.21203/rs.3.rs-29914/v1</w:t>
        <w:br/>
        <w:t>HALLOUTI, A., Hamza, M. A., Zahidi, A., Hammou, R. A., BOUHARROUD, R., Aoumar, A. A. B., &amp; Boubaker, H. (2020b). Diversity of entomopathogenic fungi associated with Mediterranean fruit fly (Ceratitis capitata (Diptera: Tephritidae)) in Moroccan Argan forests and nearby area: impact of soil factors on their distribution. Research Square (Research Square). https://doi.org/10.21203/rs.3.rs-29914/v4</w:t>
        <w:br/>
        <w:t>Hallouti, A., Hamza, M. A., Zahidi, A., Hammou, R. A., Bouharroud, R., Aoumar, A. A. B., &amp; Boubaker, H. (2020). Diversity of entomopathogenic fungi associated with Mediterranean fruit fly (Ceratitis capitata (Diptera: Tephritidae)) in Moroccan Argan forests and nearby area: impact of soil factors on their distribution. BMC Ecology, 20(1). https://doi.org/10.1186/s12898-020-00334-2</w:t>
        <w:br/>
        <w:t>Hendra, Y., Ulpah, S., trizelia, T., Syahrawati, M., &amp; Saragih, M. T. (2026). Triple functional roles of endophytic fungi in pest management: a systematic review. Egyptian Journal of Biological Pest Control, 36(1). https://doi.org/10.1186/s41938-025-00874-z</w:t>
        <w:br/>
        <w:t>Jamunarani, G. S., Ramanagouda, S. H., Venkateshalu, B., Jayappa, J., Gunnaiah, R., Rudresh, D. L., Kulkarni, M. S., Naika, M., &amp; Gopali, J. B. (2022). Isolation and evaluation of indigenous endophytic entomopathogenic fungus, Beauveria bassiana UHSB-END1 (Hypocreales: Cordycipitaceae), against Spodoptera litura Fabricius. Egyptian Journal of Biological Pest Control, 32(1). https://doi.org/10.1186/s41938-022-00617-4</w:t>
        <w:br/>
        <w:t>Jashni, M. K., Mehrabi, R., Collemare, J., Mesarich, C. H., &amp; Wit, P. J. G. M. de. (2015). The battle in the apoplast: further insights into the roles of proteases and their inhibitors in plant–pathogen interactions [Review of The battle in the apoplast: further insights into the roles of proteases and their inhibitors in plant–pathogen interactions]. Frontiers in Plant Science, 6. Frontiers Media. https://doi.org/10.3389/fpls.2015.00584</w:t>
        <w:br/>
        <w:t>Johnson, V., Pearson, J. F., &amp; Jackson, T. A. (2001). Formulations for delivery of microorganisms to soil. Proceedings of the New Zealand Weed Control Conference, 54, 255. https://doi.org/10.30843/nzpp.2001.54.3772</w:t>
        <w:br/>
        <w:t>Krell, V., Jakobs-Schoenwandt, D., &amp; Patel, A. (2019). Application of Formulated Endophytic Entomopathogenic Fungi for Novel Plant Protection Strategies. In Cambridge University Press eBooks (p. 52). Cambridge University Press. https://doi.org/10.1017/9781108607667.004</w:t>
        <w:br/>
        <w:t>Kumar, P. (2024). Induced Systemic Resistance in Plants: Mechanisms and Agricultural Significance. Journal for Research in Applied Sciences and Biotechnology, 3(4), 197. https://doi.org/10.55544/jrasb.3.4.24</w:t>
        <w:br/>
        <w:t>Kutalmış, A., Terzioğlu, Z., Şen, R. H., &amp; Sevim, A. (2023). Phylogenetic analysis and biocontrol potential of entomopathogenic fungi against Tropinota (=Epicometis) hirta (Poda) (Coleoptera: Cetoniidae) and the apple scab disease Ventura inaequalis. Egyptian Journal of Biological Pest Control, 33(1). https://doi.org/10.1186/s41938-023-00652-9</w:t>
        <w:br/>
        <w:t>Lacey, L. A., Grzywacz, D., Shapiro‐Ilan, D. I., Frutos, R., Brownbridge, M., &amp; Goettel, M. S. (2015). Insect pathogens as biological control agents: Back to the future [Review of Insect pathogens as biological control agents: Back to the future]. Journal of Invertebrate Pathology, 132, 1. Elsevier BV. https://doi.org/10.1016/j.jip.2015.07.009</w:t>
        <w:br/>
        <w:t>Lannou, C. C., Papaïx, J., Goyeau, H., &amp; Monod, H. (2012). Gérer les variétés résistantes aux maladies à l’échelle des territoires agricoles. HAL (Le Centre Pour La Communication Scientifique Directe). https://hal.archives-ouvertes.fr/hal-00999951</w:t>
        <w:br/>
        <w:t>Lazcano, C., Decock, C., Wong, C. T. F., &amp; Garcia-Brucher, K. (2022). Assessing the effects of compost on soil health. In Burleigh Dodds series in agricultural science (p. 221). Burleigh Dodds Science Publishing Limited. https://doi.org/10.19103/as.2021.0094.06</w:t>
        <w:br/>
        <w:t>Li, G., Liu, X., Sun, M., Li, S., &amp; Wang, J. (2009). Use of a novel two-stage cultivation method to determine the effects of environmental factors on the growth and sporulation of several biocontrol fungi. Mycoscience, 50(4), 317. https://doi.org/10.47371/mycosci.myc50317</w:t>
        <w:br/>
        <w:t>Liu, M., Wang, H., Lin, Z., Ke, J., Zhang, P., Zhang, F., Ru, D., Zhang, L., Xiao, Y., &amp; Liu, X. (2023). Arbuscular mycorrhizal fungi inhibit necrotrophic, but not biotrophic, aboveground plant pathogens: a meta‐analysis and experimental study. New Phytologist, 241(3), 1308. https://doi.org/10.1111/nph.19392</w:t>
        <w:br/>
        <w:t>Liu, T., Chen, W., Zhang, K., Hu, X., Berestetskiy, A., Hu, Q., &amp; Weng, Q. (2025). Three new entomopathogenic fungal species isolated from soil in China. Frontiers in Microbiology, 16. https://doi.org/10.3389/fmicb.2025.1705425</w:t>
        <w:br/>
        <w:t>Liu, Y., Yang, Y., &amp; Wang, B. (2022). Entomopathogenic fungi Beauveria bassiana and Metarhizium anisopliae play roles of maize (Zea mays) growth promoter. Scientific Reports, 12(1). https://doi.org/10.1038/s41598-022-19899-7</w:t>
        <w:br/>
        <w:t>Malausa, T., Jacquin‐Joly, E., Frérot, B., Marion‐Poll, F., Thiéry, D., Martin, J., Levevre, A., Navajas, M., Tabone, É., Rasplus, J., Ris, N., Ogier, J.-C., Pagès, S., Givaudan, A., Gaudriault, S., Gatti, J., Lavigne, C., Bouvier, J., Mailleret, L., … Brisset, M.-N. (2018). Les conquêtes de l’INRA pour le biocontrôle. HAL (Le Centre Pour La Communication Scientifique Directe). https://hal.archives-ouvertes.fr/hal-01963048</w:t>
        <w:br/>
        <w:t>Martin, F. (2025). Les communautés fongiques des sols forestiers face aux changements climatiques. Comptes Rendus Biologies, 348, 167. https://doi.org/10.5802/crbiol.179</w:t>
        <w:br/>
        <w:t>Martínez, Y., Ribera, J., Schwarze, F. W. M. R., &amp; France, K. J. D. (2023). Biotechnological development of Trichoderma-based formulations for biological control [Review of Biotechnological development of Trichoderma-based formulations for biological control]. Applied Microbiology and Biotechnology, 107(18), 5595. Springer Science+Business Media. https://doi.org/10.1007/s00253-023-12687-x</w:t>
        <w:br/>
        <w:t>Matveev, S., Reingold, V., Doron‐Faigenboim, A., Livne, Y., Davidovitz, M., &amp; Ment, D. (2025). Entomopathogenic fungi as dual-function biocontrol agents: persistence and microbiome modulation in date palm soils. bioRxiv (Cold Spring Harbor Laboratory). https://doi.org/10.1101/2025.11.02.686131</w:t>
        <w:br/>
        <w:t>Miranda‐Fuentes, P., García-Carneros, A. B., Montilla‐Carmona, A. M., &amp; Molinero‐Ruiz, L. (2020). Evidence of soil‐located competition as the cause of the reduction of sunflower verticillium wilt by entomopathogenic fungi. Plant Pathology, 69(8), 1492. https://doi.org/10.1111/ppa.13230</w:t>
        <w:br/>
        <w:t>Muvea, A., Meyhöfer, R., Subramanian, S., Poehling, H., Ekesi, S., &amp; Maniania, N. K. (2014). Colonization of Onions by Endophytic Fungi and Their Impacts on the Biology of Thrips tabaci. PLoS ONE, 9(9). https://doi.org/10.1371/journal.pone.0108242</w:t>
        <w:br/>
        <w:t>Mwamburi, L. A. (2021). Endophytic fungi, Beauveria bassiana and Metarhizium anisopliae, confer control of the fall armyworm, Spodoptera frugiperda (J. E. Smith) (Lepidoptera: Noctuidae), in two tomato varieties. Egyptian Journal of Biological Pest Control, 31(1). https://doi.org/10.1186/s41938-020-00357-3</w:t>
        <w:br/>
        <w:t>Nivelle, É. (2017). Assessing the effects of nitrogen and herbicides on soil quality indicators in contrasted agrosystems. HAL (Le Centre Pour La Communication Scientifique Directe). https://theses.hal.science/tel-03650491</w:t>
        <w:br/>
        <w:t>Oba, L. X. de S., Mattos, L. M., Paiva, G. F., Carrasco, N. F., Santos, E. F., &amp; Mota, L. H. C. (2024). PLANTING FERTILIZATION AND Metarhizium anisopliae INOCULATION IN THE INITIAL GROWTH OF SUGARCANE. REVISTA DE AGRICULTURA NEOTROPICAL, 11(1). https://doi.org/10.32404/rean.v11i1.7712</w:t>
        <w:br/>
        <w:t>Pommier, T. (2019). Relations Diversité -Fonctionnement -Services Écosystémiques chez les micro-organismes de l’environnement. HAL (Le Centre Pour La Communication Scientifique Directe). https://hal.inrae.fr/tel-02946859</w:t>
        <w:br/>
        <w:t>Qayyum, M. A., Bilal, H., Ullah, U. N., Ali, H., &amp; Raza, H. (2021). Factors Affecting the Epizootics of Entomopathogenic Fungi-A Review. Journal of Bioresource Management, 8(4), 78. https://doi.org/10.35691/jbm.1202.0204</w:t>
        <w:br/>
        <w:t>Quesada‐Moraga, E., Garrido‐Jurado, I., Yousef-Yousef, M., &amp; González-Mas, N. (2022). Multitrophic interactions of entomopathogenic fungi in BioControl. BioControl, 67(5), 457. https://doi.org/10.1007/s10526-022-10163-5</w:t>
        <w:br/>
        <w:t>Quesada‐Moraga, E., González-Mas, N., Yousef-Yousef, M., Garrido‐Jurado, I., &amp; Fernández‐Bravo, M. (2023). Key role of environmental competence in successful use of entomopathogenic fungi in microbial pest control. Journal of Pest Science, 97(1), 1. https://doi.org/10.1007/s10340-023-01622-8</w:t>
        <w:br/>
        <w:t>Rakes, M., Morais, M. C., Sperotto, M. E., Zanardi, O. Z., Palma, G. R., Floriano, L., Zanella, R., Prestes, O. D., Bernardi, D., Grützmacher, A. D., &amp; Ribeiro, L. do P. (2025). Fungicides vs mycoinsecticides in the management of corn leafhopper:  physicochemical, in vitro and in vivo compatibilities, and degradation  kinetics in maize plants. arXiv (Cornell University). https://doi.org/10.48550/arxiv.2503.21606</w:t>
        <w:br/>
        <w:t>Rilaković, A., Santana, A. da S., Zarić, M., Manthena, V., Golus, J. A., Kruger, G. R., Vélez, A. M., &amp; Peterson, J. A. (2025). Comparing simulated aerial and chemigation insecticide applications to manage western bean cutworm (Lepidoptera: Noctuidae) in corn. Journal of Economic Entomology, 118(2), 672. https://doi.org/10.1093/jee/toae306</w:t>
        <w:br/>
        <w:t>Rivas-Franco, F., Hampton, J. G., Altier, N., Swaminathan, J., Rostás, M., Wessman, P., Saville, D. J., Jackson, T. A., Jackson, M. A., &amp; Glare, T. R. (2020). Production of Microsclerotia From Entomopathogenic Fungi and Use in Maize Seed Coating as Delivery for Biocontrol Against Fusarium graminearum. Frontiers in Sustainable Food Systems, 4. https://doi.org/10.3389/fsufs.2020.606828</w:t>
        <w:br/>
        <w:t>Rizal, L. M., Hereward, J., Brookes, D. R., Furlong, M. J., &amp; Walter, G. H. (2023). Hidden diversity within Beauveria and Metarhizium – Comparing morphology, barcoding, multilocus phylogenies and whole-genome sequences. Fungal Ecology, 67, 101304. https://doi.org/10.1016/j.funeco.2023.101304</w:t>
        <w:br/>
        <w:t>Rochefort, A. (2020). The Brassica napus seed microbiota : assemblage, transmission and contribution to plant response to a soilborne fungal pathogen. HAL (Le Centre Pour La Communication Scientifique Directe). https://tel.archives-ouvertes.fr/tel-03285677</w:t>
        <w:br/>
        <w:t>Rodrigues, I. M. W., Forim, M. R., Silva, M. F. das G. F. da, Fernandes, J. B., &amp; Filho, A. B. (2016). Effect of Ultraviolet Radiation on Fungi &amp;lt;i&amp;gt;Beauveria bassiana&amp;lt;/i&amp;gt; and &amp;lt;i&amp;gt;Metarhizium anisopliae&amp;lt;/i&amp;gt;, Pure and Encapsulated, and Bio-Insecticide Action on &amp;lt;i&amp;gt;Diatraea saccharalis&amp;lt;/i&amp;gt; Advances in Entomology, 4(3), 151. https://doi.org/10.4236/ae.2016.43016</w:t>
        <w:br/>
        <w:t>Rogge, S. A., Mayerhofer, J., Enkerli, J., Bacher, S., &amp; Grabenweger, G. (2017). Preventive application of an entomopathogenic fungus in cover crops for wireworm control. BioControl, 62(5), 613. https://doi.org/10.1007/s10526-017-9816-x</w:t>
        <w:br/>
        <w:t>Saif, I., Sufyan, M., Baboo, I., Jabbar, M., Shafiq, A., Saif, R. N., Liaqat, U., &amp; Lackner, M. (2024). Efficacy of Beauveria bassiana and Metarhizium anisopliae against wheat aphid. The EuroBiotech Journal, 8(1), 23. https://doi.org/10.2478/ebtj-2024-0003</w:t>
        <w:br/>
        <w:t>Samal, I., Bhoi, T. K., Majhi, P. K., Murmu, S., Pradhan, A. K., Kumar, D., Saini, V., Paschapur, A. U., Raj, M. N., Ankur, A., Manik, S., Behera, P. P., Mahanta, D. K., Komal, J., Alam, P., &amp; Balawi, T. A. (2023). Combatting insects mediated biotic stress through plant associated endophytic entomopathogenic fungi in horticultural crops [Review of Combatting insects mediated biotic stress through plant associated endophytic entomopathogenic fungi in horticultural crops]. Frontiers in Plant Science, 13. Frontiers Media. https://doi.org/10.3389/fpls.2022.1098673</w:t>
        <w:br/>
        <w:t>Samson, M.-É. (2021). Agronomic and environmental effect of soil conservation management practices in field crops production : Crop yield and soil carbon and nitrogen dynamics. HAL (Le Centre Pour La Communication Scientifique Directe). https://tel.archives-ouvertes.fr/tel-03609144</w:t>
        <w:br/>
        <w:t>Sánchez‐Rodríguez, A. R., Raya–Díaz, S., Zamarreño, Á. M., García‐Mina, J. M., Campillo, M. C. del, &amp; Quesada‐Moraga, E. (2017). An endophytic Beauveria bassiana strain increases spike production in bread and durum wheat plants and effectively controls cotton leafworm (Spodoptera littoralis) larvae. Biological Control, 116, 90. https://doi.org/10.1016/j.biocontrol.2017.01.012</w:t>
        <w:br/>
        <w:t>Sani, I., Jamian, S., Saad, N., Abdullah, S., Hata, E. M., Jalinas, J., &amp; Ismail, S. I. (2023). Inoculation and colonization of the entomopathogenic fungi, Isaria javanica and Purpureocillium lilacinum, in tomato plants, and their effect on seedling growth, mortality and adult emergence of Bemisia tabaci (Gennadius). PLoS ONE, 18(5). https://doi.org/10.1371/journal.pone.0285666</w:t>
        <w:br/>
        <w:t>Shaalan, R., Gerges, E., Habib, W., &amp; Ibrahim, L. (2023). Endophytic colonization by Beauveria bassiana and Metarhizium anisopliae induces growth promotion effect and increases the resistance of cucumber plants against Aphis gossypii. Journal of Plant Protection Research. https://doi.org/10.24425/jppr.2021.139244</w:t>
        <w:br/>
        <w:t>Sharma, R., &amp; Sharma, P. (2021). Fungal entomopathogens: a systematic review [Review of Fungal entomopathogens: a systematic review]. Egyptian Journal of Biological Pest Control, 31(1). Springer Nature. https://doi.org/10.1186/s41938-021-00404-7</w:t>
        <w:br/>
        <w:t>Singh, S., Jangre, A., &amp; Tiwari, R. (2021). Performance of Beauveria bassiana and Metarhizium anisopliae against Pyrilla (Pyrilla perpusilla) in sugarcane. Journal of Pharmacognosy and Phytochemistry, 10(1), 1467. https://doi.org/10.22271/phyto.2021.v10.i1u.13552</w:t>
        <w:br/>
        <w:t>Soesanto, L., Sari, L. Y., Mugiastuti, E., &amp; Manan, A. (2021). CROSS APPLICATION OF ENTOMOPATHOGENIC FUNGI RAW SECONDARY METABOLITES FOR CONTROLLING FUSARIUM WILT OF CHILI SEEDLINGS. JURNAL HAMA DAN PENYAKIT TUMBUHAN TROPIKA, 21(2), 82. https://doi.org/10.23960/jhptt.22182-90</w:t>
        <w:br/>
        <w:t>Stahl, J. M., Babendreier, D., &amp; Haye, T. (2018). Using the egg parasitoid Anastatus bifasciatus against the invasive brown marmorated stink bug in Europe: can non-target effects be ruled out? Journal of Pest Science, 91(3), 1005. https://doi.org/10.1007/s10340-018-0969-x</w:t>
        <w:br/>
        <w:t>Taddei, A., &amp; Fallot, A. (2023). Collection of soil metaphors. HAL (Le Centre Pour La Communication Scientifique Directe). https://hal.science/hal-04124348</w:t>
        <w:br/>
        <w:t>Tang, X., Wang, X., Cheng, X., Wang, X., &amp; Fang, W. (2025). Metarhizium fungi as plant symbionts. New Plant Protection., 2(1). https://doi.org/10.1002/npp2.23</w:t>
        <w:br/>
        <w:t>Touré, S. (2018). Interactions between insects and entomopathogenic microorganisms to discover new insecticidal and antimicrobial compounds. HAL (Le Centre Pour La Communication Scientifique Directe). https://tel.archives-ouvertes.fr/tel-02163933</w:t>
        <w:br/>
        <w:t>Vega, F. E., Goettel, M. S., Blackwell, M. S. A., Chandler, D., Jackson, M. A., Keller, S., Koike, M., Maniania, N. K., Monzón, A., Ownley, B. H., Pell, J. K., Rangel, D. E. N., &amp; Roy, H. E. (2009). Fungal entomopathogens: new insights on their ecology. Fungal Ecology, 2(4), 149. https://doi.org/10.1016/j.funeco.2009.05.001</w:t>
        <w:br/>
        <w:t>Vivekanandhan, P., Alford, L., &amp; Krutmuang, P. (2024). Editorial: Role of entomopathogenic fungi in sustainable agriculture. Frontiers in Microbiology, 15, 1504175. https://doi.org/10.3389/fmicb.2024.1504175</w:t>
        <w:br/>
        <w:t>Vivekanandhan, P., Kannan, S., Sarayut, P., &amp; Krutmuang, P. (2024). Biology, classification, and entomopathogen-based management and their mode of action on Tuta absoluta (Meyrick) in Asia [Review of Biology, classification, and entomopathogen-based management and their mode of action on Tuta absoluta (Meyrick) in Asia]. Frontiers in Microbiology, 15. Frontiers Media. https://doi.org/10.3389/fmicb.2024.1429690</w:t>
        <w:br/>
        <w:t>Vukicevich, E., Lowery, T., Bowen, P., Úrbez‐Torres, J. R., &amp; Hart, M. M. (2016). Cover crops to increase soil microbial diversity and mitigate decline in perennial agriculture. A review [Review of Cover crops to increase soil microbial diversity and mitigate decline in perennial agriculture. A review]. Agronomy for Sustainable Development, 36(3). Springer Science+Business Media. https://doi.org/10.1007/s13593-016-0385-7</w:t>
        <w:br/>
        <w:t>Wakil, W., Tahir, M., Al‐Sadi, A. M., &amp; Shapiro‐Ilan, D. I. (2020). Interactions Between Two Invertebrate Pathogens: An Endophytic Fungus and an Externally Applied Bacterium. Frontiers in Microbiology, 11. https://doi.org/10.3389/fmicb.2020.522368</w:t>
        <w:br/>
        <w:t>Wallis, C. M., &amp; Sisterson, M. S. (2024). Opportunities for optimizing fungal biological control agents for long-term and effective management of insect pests of orchards and vineyards: a review [Review of Opportunities for optimizing fungal biological control agents for long-term and effective management of insect pests of orchards and vineyards: a review]. Frontiers in Fungal Biology, 5. Frontiers Media. https://doi.org/10.3389/ffunb.2024.1443343</w:t>
        <w:br/>
        <w:t>Wei, Y., He, J., Liang, C., &amp; Cheng, D. (2024). Isolation, identification, biological characteristics, and pathogenicity of an entomogenous fungus against the Egyptian mealybug, Icerya aegyptiaca (J.) (Hemiptera: Monophlebidae). Egyptian Journal of Biological Pest Control, 34(1). https://doi.org/10.1186/s41938-024-00802-7</w:t>
        <w:br/>
        <w:t>Wint, F. C. D., Nicholson, S. W., Koid, Q. Q., Zahra, S., Chestney-Claassen, G., Seelan, J. S. S., Xie, J., Xing, S., Fayle, T. M., &amp; Haelewaters, D. (2024). Introducing a global database of entomopathogenic fungi and their host associations. Scientific Data, 11(1), 1418. https://doi.org/10.1038/s41597-024-04103-4</w:t>
        <w:br/>
        <w:t>Yadav, S., Thodusu, M., Shankar, U., Nautiyal, A., Khajuria, M., Sarangi, S., Maheshwari, S., &amp; Pandey, K. P. (2025). Entomopathogenic Fungi: Dual Role in Insect Control and Plant Disease Management. UTTAR PRADESH JOURNAL OF ZOOLOGY, 46(2), 172. https://doi.org/10.56557/upjoz/2025/v46i24772</w:t>
      </w:r>
    </w:p>
    <w:p>
      <w:pPr>
        <w:jc w:val="center"/>
      </w:pPr>
      <w:r>
        <w:rPr>
          <w:color w:val="999999"/>
          <w:sz w:val="18"/>
        </w:rPr>
        <w:t>────────────────────────────────────────</w:t>
      </w:r>
    </w:p>
    <w:p>
      <w:pPr>
        <w:pStyle w:val="Heading1"/>
      </w:pPr>
      <w:r>
        <w:t>I. Les guildes fongiques</w:t>
      </w:r>
    </w:p>
    <w:p>
      <w:pPr>
        <w:pStyle w:val="Heading2"/>
      </w:pPr>
      <w:r>
        <w:t>1.1 Les 4 guildes fonctionnelles principales</w:t>
      </w:r>
    </w:p>
    <w:p>
      <w:r>
        <w:t>Quatre guildes fonctionnelles dominent : saprotrophes (dégradation MO), mycorhiziens (symbiose plante), pathogènes, et mycoparasites. Leur équilibre détermine la santé du sol.</w:t>
      </w:r>
    </w:p>
    <w:p/>
    <w:p>
      <w:r>
        <w:t>→ Les 4 guildes fongiques : (1) saprotrophes = décomposeurs de lignine, pourvoyeurs d'eau (2) CMA = symbiotes obligatoires des plantes (3) ECM = symbiotes des arbres forestiers (4) pathogènes = régulateurs des populations végétales.</w:t>
        <w:br/>
        <w:t>→ Les saprotrophes sont les PREMIERS colonisateurs du mulch et du broyat. Ils remontent l'eau du sol par capillarité hyphique pour dégrader la lignine. Ils préparent le terrain pour les CMA.</w:t>
        <w:br/>
        <w:t>→ La guilde dominante indique l'état du sol : saprotrophes dominants = sol en reconstruction (apport MO actif), CMA dominants = sol stable (symbiose établie), pathogènes dominants = sol perturbé (stress biotique).</w:t>
      </w:r>
    </w:p>
    <w:p>
      <w:pPr>
        <w:jc w:val="center"/>
      </w:pPr>
      <w:r>
        <w:rPr>
          <w:color w:val="999999"/>
          <w:sz w:val="18"/>
        </w:rPr>
        <w:t>────────────────────────────────────────</w:t>
      </w:r>
    </w:p>
    <w:p>
      <w:pPr>
        <w:pStyle w:val="Heading2"/>
      </w:pPr>
      <w:r>
        <w:t>1.2 Identifier le mycobiome : métabarcoding ITS</w:t>
      </w:r>
    </w:p>
    <w:p>
      <w:r>
        <w:t>Le métabarcoding ITS permet d'identifier la diversité fongique. Les méthodes PLFA quantifient la biomasse. Ces outils diagnostiques relient diversité fongique et fonctions du sol.</w:t>
      </w:r>
    </w:p>
    <w:p/>
    <w:p>
      <w:r>
        <w:t>→ Le métabarcoding ITS (Internal Transcribed Spacer) est la méthode standard pour identifier le mycobiome. L'ADN fongique du sol révèle 2000-5000 espèces par gramme — une diversité comparable au microbiome bactérien.</w:t>
        <w:br/>
        <w:t>→ Limite du métabarcoding : il détecte l'ADN (vivant + mort), pas l'activité. Un sol peut montrer un profil ITS « sain » mais avec une faune fongique dormante. Le PLFA (phospholipides) mesure la biomasse VIVANTE uniquement.</w:t>
        <w:br/>
        <w:t>→ Le ratio F/B (biomasse fongique / biomasse bactérienne, mesuré en PLFA) est l'indicateur de maturité le plus utilisé : F/B &lt; 0.5 = sol bactérien (perturbé), F/B &gt; 1 = sol fongique (mature, forestier).</w:t>
      </w:r>
    </w:p>
    <w:p>
      <w:pPr>
        <w:jc w:val="center"/>
      </w:pPr>
      <w:r>
        <w:rPr>
          <w:color w:val="999999"/>
          <w:sz w:val="18"/>
        </w:rPr>
        <w:t>────────────────────────────────────────</w:t>
      </w:r>
    </w:p>
    <w:p>
      <w:pPr>
        <w:pStyle w:val="Heading1"/>
      </w:pPr>
      <w:r>
        <w:t>II. Les CMA</w:t>
      </w:r>
    </w:p>
    <w:p>
      <w:pPr>
        <w:pStyle w:val="Heading2"/>
      </w:pPr>
      <w:r>
        <w:t>2.1 Architecture de la symbiose CMA</w:t>
      </w:r>
    </w:p>
    <w:p>
      <w:r>
        <w:t>Les CMA (champignons mycorhiziens à arbuscules, Glomeromycota) forment la symbiose la plus ancienne et la plus répandue (&gt;80% des plantes terrestres). Leur architecture (arbuscules, hyphes extraracinaires) étend massivement la surface d'absorption. Lien évolutif avec le temps long (conservation des signaux LCO depuis le Dévonien).</w:t>
      </w:r>
    </w:p>
    <w:p/>
    <w:p>
      <w:r>
        <w:t>→ Architecture de la symbiose CMA : le mycélium extra-racinaire explore le sol (eau + P), les arbuscules dans les cellules corticales échangent P/N contre C photosynthétique. L'investissement : 2-20% de la photosynthèse de la plante.</w:t>
        <w:br/>
        <w:t>→ Les CMA ne décomposent PAS la MO (ils sont biotrophes obligatoires). Leur seule source de carbone est la plante hôte. C'est pourquoi un sol nu sans couvert PERD ses CMA en 6-12 mois.</w:t>
        <w:br/>
        <w:t>→ Un réseau CMA fonctionnel donne accès à 100× le volume de sol explorable par les racines seules. Pour le phosphore (immobile), c'est la différence entre carence et suffisance.</w:t>
      </w:r>
    </w:p>
    <w:p>
      <w:pPr>
        <w:jc w:val="center"/>
      </w:pPr>
      <w:r>
        <w:rPr>
          <w:color w:val="999999"/>
          <w:sz w:val="18"/>
        </w:rPr>
        <w:t>────────────────────────────────────────</w:t>
      </w:r>
    </w:p>
    <w:p>
      <w:pPr>
        <w:pStyle w:val="Heading2"/>
      </w:pPr>
      <w:r>
        <w:t>2.2 Bénéfices agronomiques et facteurs d'inhibition</w:t>
      </w:r>
    </w:p>
    <w:p>
      <w:r>
        <w:t>Les bénéfices des CMA : absorption P et microéléments, résistance hydrique, protection pathogènes. Les facteurs de disruption : labour, engrais P solubles, fongicides, absence de plante hôte.</w:t>
      </w:r>
    </w:p>
    <w:p/>
    <w:p>
      <w:r>
        <w:t>→ Facteurs d'inhibition des CMA : (1) engrais P solubles (la plante n'a plus besoin du champignon) (2) labour (rupture des hyphes) (3) sol nu &gt; 6 mois (pas d'hôte) (4) fongicides systémiques.</w:t>
        <w:br/>
        <w:t>→ Paradoxe de la fertilisation phosphatée : apporter du P soluble DÉTRUIT le mécanisme biologique d'accès au P. À court terme, rendement maintenu. À long terme, dépendance totale aux intrants — et le P du sol reste fixé sur les oxydes.</w:t>
        <w:br/>
        <w:t>→ Les couverts multi-espèces maintiennent les CMA pendant l'interculture (toujours un hôte vivant). La luzerne et le trèfle sont les meilleurs « mainteneurs » de CMA en rotation.</w:t>
      </w:r>
    </w:p>
    <w:p>
      <w:pPr>
        <w:jc w:val="center"/>
      </w:pPr>
      <w:r>
        <w:rPr>
          <w:color w:val="999999"/>
          <w:sz w:val="18"/>
        </w:rPr>
        <w:t>────────────────────────────────────────</w:t>
      </w:r>
    </w:p>
    <w:p>
      <w:pPr>
        <w:pStyle w:val="Heading1"/>
      </w:pPr>
      <w:r>
        <w:t>III. Les ECM et le CMN</w:t>
      </w:r>
    </w:p>
    <w:p>
      <w:pPr>
        <w:pStyle w:val="Heading2"/>
      </w:pPr>
      <w:r>
        <w:t>3.1 Les ECM : champignons des forêts et agroforesterie</w:t>
      </w:r>
    </w:p>
    <w:p>
      <w:r>
        <w:t>Les ectomycorhizes (ECM) dominent les écosystèmes forestiers et pérennes. Leur réseau de Hartig et leur manteau fongique créent une interface massive pour les échanges nutritifs.</w:t>
      </w:r>
    </w:p>
    <w:p/>
    <w:p>
      <w:r>
        <w:t>→ Les ECM (ectomycorhizes) sont le réseau des FORÊTS : ils associent les arbres (chênes, hêtres, pins) et décomposent la litière ligneuse. Ils ne colonisent PAS les cultures annuelles — c'est le domaine des CMA.</w:t>
        <w:br/>
        <w:t>→ En agroforesterie, les ECM de l'arbre et les CMA des cultures coexistent. L'arbre fournit la lignine (via ses racines et sa litière) qui nourrit les saprotrophes, lesquels préparent le terrain pour les CMA des cultures voisines.</w:t>
        <w:br/>
        <w:t>→ Les ECM séquestrent du carbone dans leurs manteaux hyphiques (glomaline, mélanine) qui se lient aux argiles. L'arbre est une usine à MAOM via ses champignons associés.</w:t>
      </w:r>
    </w:p>
    <w:p>
      <w:pPr>
        <w:jc w:val="center"/>
      </w:pPr>
      <w:r>
        <w:rPr>
          <w:color w:val="999999"/>
          <w:sz w:val="18"/>
        </w:rPr>
        <w:t>────────────────────────────────────────</w:t>
      </w:r>
    </w:p>
    <w:p>
      <w:pPr>
        <w:pStyle w:val="Heading2"/>
      </w:pPr>
      <w:r>
        <w:t>3.2 Le CMN : réseau souterrain et mémoire écologique</w:t>
      </w:r>
    </w:p>
    <w:p>
      <w:r>
        <w:t>Le CMN (Common Mycorrhizal Network) connecte les plantes entre elles via les hyphes mycorhiziens. Il permet le transfert de carbone, d'azote et de signaux de défense entre individus. Lien avec l'agroforesterie (CMN agroforestier comme extension pratique).</w:t>
      </w:r>
    </w:p>
    <w:p/>
    <w:p>
      <w:r>
        <w:t>→ Le CMN (Common Mycorrhizal Network) connecte les arbres entre eux et avec les plantes herbacées via les hyphes mycorhiziens. Il redistribue : eau (hydraulic lift), phosphore, azote, signaux de défense (ISR).</w:t>
        <w:br/>
        <w:t>→ Le « wood wide web » : les arbres mères (les plus grands, les plus anciens) redistribuent les nutriments vers les jeunes pousses via le CMN. C'est un réseau de SOLIDARITÉ, pas de compétition.</w:t>
        <w:br/>
        <w:t>→ Le CMN est une mémoire écologique : il conserve l'information sur les pathogènes rencontrés et transmet les signaux d'alerte aux plantes connectées. Un sol avec un CMN intact a une « mémoire immunitaire » collective.</w:t>
      </w:r>
    </w:p>
    <w:p>
      <w:pPr>
        <w:jc w:val="center"/>
      </w:pPr>
      <w:r>
        <w:rPr>
          <w:color w:val="999999"/>
          <w:sz w:val="18"/>
        </w:rPr>
        <w:t>────────────────────────────────────────</w:t>
      </w:r>
    </w:p>
    <w:p>
      <w:pPr>
        <w:pStyle w:val="Heading1"/>
      </w:pPr>
      <w:r>
        <w:t>IV. La nécromasse fongique</w:t>
      </w:r>
    </w:p>
    <w:p>
      <w:pPr>
        <w:pStyle w:val="Heading2"/>
      </w:pPr>
      <w:r>
        <w:t>4.1 Pourquoi la nécromasse fongique stabilise le carbone</w:t>
      </w:r>
    </w:p>
    <w:p>
      <w:r>
        <w:t>La nécromasse fongique (parois de chitine, mélanine) est plus résistante à la décomposition que la nécromasse bactérienne. Elle contribue massivement à la MAOM et à la stabilisation du carbone. La GRSP/glomaline cimente les agrégats. Lien avec l'architecture du sol (hyphes et glomaline stabilisent les agrégats).</w:t>
      </w:r>
    </w:p>
    <w:p/>
    <w:p>
      <w:r>
        <w:t>→ La nécromasse fongique est le pool de carbone le plus STABLE du sol : chitine (temps de résidence &gt; 100 ans), mélanine (résiste à l'oxydation), glomaline (hydrophobe, lie les agrégats). Les champignons construisent le gîte (Husson) en mourant.</w:t>
        <w:br/>
        <w:t>→ La nécromasse fongique se lie préférentiellement aux argiles et aux oxydes Fe/Al = MAOM. Le ratio nécromasse/biomasse augmente avec la maturité du sol : un sol stable a plus de carbone fongique MORT que vivant.</w:t>
        <w:br/>
        <w:t>→ Le non-labour favorise l'accumulation de nécromasse : les hyphes ne sont pas brisés, ils meurent naturellement in situ et se stabilisent sur place. Le labour disperse la nécromasse et l'expose à la minéralisation.</w:t>
      </w:r>
    </w:p>
    <w:p>
      <w:pPr>
        <w:jc w:val="center"/>
      </w:pPr>
      <w:r>
        <w:rPr>
          <w:color w:val="999999"/>
          <w:sz w:val="18"/>
        </w:rPr>
        <w:t>────────────────────────────────────────</w:t>
      </w:r>
    </w:p>
    <w:p>
      <w:pPr>
        <w:pStyle w:val="Heading2"/>
      </w:pPr>
      <w:r>
        <w:t>4.2 Le ratio F/B : indicateur clé</w:t>
      </w:r>
    </w:p>
    <w:p>
      <w:r>
        <w:t>Le ratio F/B (champignons/bactéries) est un indicateur clé de maturité du sol. Un ratio élevé indique un écosystème mature dominé par les champignons. Lien avec la transition (le ratio F/B positionne l'exploitation sur la chronoséquence de régénération).</w:t>
      </w:r>
    </w:p>
    <w:p/>
    <w:p>
      <w:r>
        <w:t>→ Le ratio F/B (PLFA) est le meilleur proxy terrain de la maturité du sol : F/B &lt; 0.5 = sol bactérien, perturbé, copiotrophes dominants. F/B 0.5-1 = transition. F/B &gt; 1 = sol fongique, mature, oligotrophes + champignons.</w:t>
        <w:br/>
        <w:t>→ Le F/B corrèle avec les zones de Husson : Zone 4 (F/B &lt; 0.3), Zone 3 (0.3-0.7), Zone 2 (0.7-1.2), Zone 1 (&gt; 1.2). C'est un indicateur de la chronoséquence : où en est le sol dans sa trajectoire de régénération.</w:t>
        <w:br/>
        <w:t>→ Attention : le F/B varie naturellement avec la saison (plus élevé en automne/hiver quand la litière alimente les saprotrophes) et la profondeur (plus élevé en surface). Comparer des mesures à même saison et même profondeur.</w:t>
      </w:r>
    </w:p>
    <w:p>
      <w:pPr>
        <w:jc w:val="center"/>
      </w:pPr>
      <w:r>
        <w:rPr>
          <w:color w:val="999999"/>
          <w:sz w:val="18"/>
        </w:rPr>
        <w:t>────────────────────────────────────────</w:t>
      </w:r>
    </w:p>
    <w:p>
      <w:pPr>
        <w:pStyle w:val="Heading1"/>
      </w:pPr>
      <w:r>
        <w:t>V. Mycoparasites et biocontrôle fongique</w:t>
      </w:r>
    </w:p>
    <w:p>
      <w:pPr>
        <w:pStyle w:val="Heading2"/>
      </w:pPr>
      <w:r>
        <w:t>5.1 Trichoderma : le couteau suisse fongique du sol</w:t>
      </w:r>
    </w:p>
    <w:p>
      <w:r>
        <w:t>Trichoderma est un genre polyvalent : biocontrôle par mycoparasitisme, stimulation de croissance, dégradation de la MO. C'est le champignon le plus utilisé en biocontrôle agricole.</w:t>
      </w:r>
    </w:p>
    <w:p/>
    <w:p>
      <w:r>
        <w:t>→ Trichoderma = le « couteau suisse » fongique : (1) mycoparasite (attaque les pathogènes) (2) promoteur de croissance (production IAA, solubilisation P) (3) inducteur d'ISR (4) décomposeur de cellulose (5) producteur d'antibiotiques (gliotoxine).</w:t>
        <w:br/>
        <w:t>→ Trichoderma est le biocontrol agent le plus utilisé au monde (&gt;60% des biofongicides commerciaux). Il colonise la rhizosphère en 24-48h et établit une barrière permanente contre Fusarium, Pythium, Rhizoctonia.</w:t>
        <w:br/>
        <w:t>→ Le bokashi enrichi en Trichoderma = double action : fermentation (correction redox, métabolites bénéfiques) + biocontrôle (colonisation rhizosphérique). Les deux effets sont synergiques.</w:t>
      </w:r>
    </w:p>
    <w:p>
      <w:pPr>
        <w:jc w:val="center"/>
      </w:pPr>
      <w:r>
        <w:rPr>
          <w:color w:val="999999"/>
          <w:sz w:val="18"/>
        </w:rPr>
        <w:t>────────────────────────────────────────</w:t>
      </w:r>
    </w:p>
    <w:p>
      <w:pPr>
        <w:pStyle w:val="Heading2"/>
      </w:pPr>
      <w:r>
        <w:t>5.2 Le mycobiome et la résistance aux pathogènes</w:t>
      </w:r>
    </w:p>
    <w:p>
      <w:r>
        <w:t>Le mycobiome du sol contribue à la résistance aux pathogènes par compétition, antibiose et induction de résistance. La diversité fongique est une assurance contre les maladies telluriques.</w:t>
      </w:r>
    </w:p>
    <w:p/>
    <w:p>
      <w:r>
        <w:t>→ Le mycobiome sain = diversité fongique qui empêche la dominance d'un pathogène. La résistance aux pathogènes est une propriété ÉMERGENTE de la diversité, pas d'un organisme unique.</w:t>
        <w:br/>
        <w:t>→ La succession fongique après perturbation : Mucor/Rhizopus (pionniers, r-stratèges) → Trichoderma/Penicillium (colonisateurs) → CMA/ECM (symbiotes stables). Le labour bloque la succession au stade pionnier.</w:t>
        <w:br/>
        <w:t>→ Les champignons entomopathogènes (Beauveria, Metarhizium) sont un service écosystémique GRATUIT du sol fongique : ils contrôlent les ravageurs sans pesticides. Ils sont détruits par le labour et les fongicides.</w:t>
      </w:r>
    </w:p>
    <w:p>
      <w:pPr>
        <w:jc w:val="center"/>
      </w:pPr>
      <w:r>
        <w:rPr>
          <w:color w:val="999999"/>
          <w:sz w:val="18"/>
        </w:rPr>
        <w:t>────────────────────────────────────────</w:t>
      </w:r>
    </w:p>
    <w:p>
      <w:pPr>
        <w:pStyle w:val="Heading1"/>
      </w:pPr>
      <w:r>
        <w:t>Conclusion</w:t>
      </w:r>
    </w:p>
    <w:p>
      <w:r>
        <w:t>Ce document couvre 10 sections organisées autour de 5 chapitres : I. Les guildes fongiques, II. Les CMA, III. Les ECM et le CMN, IV. La nécromasse fongique et 1 autres. La conclusion doit synthétiser les mécanismes clés et ouvrir sur les perspectives pratiques ou scientifiques.</w:t>
      </w:r>
    </w:p>
    <w:p>
      <w:r>
        <w:rPr>
          <w:i/>
          <w:color w:val="707070"/>
        </w:rPr>
        <w:t>Le royaume fongique est l'architecte et le réseau du sol vivant. Synthétiser : les saprotrophes structurent, les mycorhiziens connectent et nourrissent, la nécromasse stabilise le carbone, les mycoparasites protègent. Sans champignons, pas de sol vivant.</w:t>
      </w:r>
    </w:p>
    <w:p>
      <w:r>
        <w:br w:type="page"/>
      </w:r>
    </w:p>
    <w:p>
      <w:pPr>
        <w:pStyle w:val="Heading1"/>
      </w:pPr>
      <w:r>
        <w:t>Annexes</w:t>
      </w:r>
    </w:p>
    <w:p>
      <w:pPr>
        <w:pStyle w:val="Heading2"/>
      </w:pPr>
      <w:r>
        <w:t>Renvois inter-documents (8)</w:t>
      </w:r>
    </w:p>
    <w:p>
      <w:r>
        <w:t>→ I · Voir F1 §II : Conservation phylogénétique de la signalisation LCO/facteurs Myc depuis 407 Ma</w:t>
      </w:r>
    </w:p>
    <w:p>
      <w:r>
        <w:t>→ II · Voir P2 : Les couverts multi-espèces comme maintien du CMN pendant l'interculture</w:t>
      </w:r>
    </w:p>
    <w:p>
      <w:r>
        <w:t>→ document · Voir P3 : CEP et lutte biologique par conservation (CBC)</w:t>
      </w:r>
    </w:p>
    <w:p>
      <w:r>
        <w:t>→ document · Voir P4 : CMN agroforestier comme extension pratique des réseaux mycorhiziens</w:t>
      </w:r>
    </w:p>
    <w:p>
      <w:r>
        <w:t>→ document · Voir P4 : CMN agroforestier et oxalate-carbonate</w:t>
      </w:r>
    </w:p>
    <w:p>
      <w:r>
        <w:t>→ document · Voir P5 : Le ratio F/B (PLFA) positionne l'exploitation sur la chronoséquence des 4 phases</w:t>
      </w:r>
    </w:p>
    <w:p>
      <w:r>
        <w:t>→ document · Voir S1 : Les agents biologiques (hyphes, EPS, glomaline) stabilisent les agrégats décrits dans S1</w:t>
      </w:r>
    </w:p>
    <w:p>
      <w:r>
        <w:t>→ document · Voir V2 : Endophytisme CEP : colonisation tissus végétaux et transfert N insecte→plante</w:t>
      </w:r>
    </w:p>
    <w:p>
      <w:pPr>
        <w:pStyle w:val="Heading2"/>
      </w:pPr>
      <w:r>
        <w:t>Sources (11)</w:t>
      </w:r>
    </w:p>
    <w:p>
      <w:r>
        <w:rPr>
          <w:sz w:val="18"/>
        </w:rPr>
        <w:t>Behie &amp; Bidochka (2013).   [à pousser dans Zotero]</w:t>
      </w:r>
    </w:p>
    <w:p>
      <w:r>
        <w:rPr>
          <w:sz w:val="18"/>
        </w:rPr>
        <w:t>Bernonville (2009).   [à pousser dans Zotero]</w:t>
      </w:r>
    </w:p>
    <w:p>
      <w:r>
        <w:rPr>
          <w:sz w:val="18"/>
        </w:rPr>
        <w:t>Fenibo &amp; Matambo (2025).   [à pousser dans Zotero]</w:t>
      </w:r>
    </w:p>
    <w:p>
      <w:r>
        <w:rPr>
          <w:sz w:val="18"/>
        </w:rPr>
        <w:t>Kumar (2024). Induced Systemic Resistance in Plants: Mechanisms and Agricultural Significance — Journal for Research in Applied Sciences and Biotechnology · DOI: 10.55544/jrasb.3.4.24</w:t>
      </w:r>
    </w:p>
    <w:p>
      <w:r>
        <w:rPr>
          <w:sz w:val="18"/>
        </w:rPr>
        <w:t>Mwamburi (2021).   [à pousser dans Zotero]</w:t>
      </w:r>
    </w:p>
    <w:p>
      <w:r>
        <w:rPr>
          <w:sz w:val="18"/>
        </w:rPr>
        <w:t>Pommier (2019).   [à pousser dans Zotero]</w:t>
      </w:r>
    </w:p>
    <w:p>
      <w:r>
        <w:rPr>
          <w:sz w:val="18"/>
        </w:rPr>
        <w:t>Rochefort (2020). The Brassica napus seed microbiota : assemblage, transmission and contribution to plant response to a soilborne fungal pathogen — HAL (Le Centre pour la Communication Scientifique Directe) · https://tel.archives-ouvertes.fr/tel-03285677</w:t>
      </w:r>
    </w:p>
    <w:p>
      <w:r>
        <w:rPr>
          <w:sz w:val="18"/>
        </w:rPr>
        <w:t>Sharma &amp; Kaur (2021). Soil Microbial Diversity and Metagenomics — Soil Nitrogen Ecology · DOI: 10.1007/978-3-030-71206-8_14</w:t>
      </w:r>
    </w:p>
    <w:p>
      <w:r>
        <w:rPr>
          <w:sz w:val="18"/>
        </w:rPr>
        <w:t>Taddei &amp; Fallot (2023). Collection of soil metaphors — HAL (Le Centre pour la Communication Scientifique Directe) · https://hal.science/hal-04124348</w:t>
      </w:r>
    </w:p>
    <w:p>
      <w:r>
        <w:rPr>
          <w:sz w:val="18"/>
        </w:rPr>
        <w:t>Touré (2018). Interactions between insects and entomopathogenic microorganisms to discover new insecticidal and antimicrobial compounds · https://tel.archives-ouvertes.fr/tel-02163933</w:t>
      </w:r>
    </w:p>
    <w:p>
      <w:r>
        <w:rPr>
          <w:sz w:val="18"/>
        </w:rPr>
        <w:t>Wallis &amp; Sisterson (2024).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