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L'Holobionte Plante-Microbiome</w:t>
      </w:r>
    </w:p>
    <w:p>
      <w:pPr>
        <w:pStyle w:val="Heading1"/>
      </w:pPr>
      <w:r>
        <w:t>Termes canoniques (110)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FR</w:t>
            </w:r>
          </w:p>
        </w:tc>
        <w:tc>
          <w:tcPr>
            <w:tcW w:type="dxa" w:w="2880"/>
          </w:tcPr>
          <w:p>
            <w:r>
              <w:t>EN</w:t>
            </w:r>
          </w:p>
        </w:tc>
        <w:tc>
          <w:tcPr>
            <w:tcW w:type="dxa" w:w="2880"/>
          </w:tcPr>
          <w:p>
            <w:r>
              <w:t>Synonymes FR</w:t>
            </w:r>
          </w:p>
        </w:tc>
      </w:tr>
      <w:tr>
        <w:tc>
          <w:tcPr>
            <w:tcW w:type="dxa" w:w="2880"/>
          </w:tcPr>
          <w:p>
            <w:r>
              <w:t>ACC désaminase</w:t>
            </w:r>
          </w:p>
        </w:tc>
        <w:tc>
          <w:tcPr>
            <w:tcW w:type="dxa" w:w="2880"/>
          </w:tcPr>
          <w:p>
            <w:r>
              <w:t>ACC deaminase</w:t>
            </w:r>
          </w:p>
        </w:tc>
        <w:tc>
          <w:tcPr>
            <w:tcW w:type="dxa" w:w="2880"/>
          </w:tcPr>
          <w:p>
            <w:r>
              <w:t>1-aminocyclopropane-1-carboxylate désaminase ; 1-aminocyclopropane-1-carboxylate désaminase.</w:t>
            </w:r>
          </w:p>
        </w:tc>
      </w:tr>
      <w:tr>
        <w:tc>
          <w:tcPr>
            <w:tcW w:type="dxa" w:w="2880"/>
          </w:tcPr>
          <w:p>
            <w:r>
              <w:t>Agent chimiotactique</w:t>
            </w:r>
          </w:p>
        </w:tc>
        <w:tc>
          <w:tcPr>
            <w:tcW w:type="dxa" w:w="2880"/>
          </w:tcPr>
          <w:p>
            <w:r>
              <w:t>Chemoattractant</w:t>
            </w:r>
          </w:p>
        </w:tc>
        <w:tc>
          <w:tcPr>
            <w:tcW w:type="dxa" w:w="2880"/>
          </w:tcPr>
          <w:p>
            <w:r/>
          </w:p>
        </w:tc>
      </w:tr>
      <w:tr>
        <w:tc>
          <w:tcPr>
            <w:tcW w:type="dxa" w:w="2880"/>
          </w:tcPr>
          <w:p>
            <w:r>
              <w:t>Allocation C photosynthétique aux exsudats</w:t>
            </w:r>
          </w:p>
        </w:tc>
        <w:tc>
          <w:tcPr>
            <w:tcW w:type="dxa" w:w="2880"/>
          </w:tcPr>
          <w:p>
            <w:r>
              <w:t>photosynthetic carbon allocation to root exudates</w:t>
            </w:r>
          </w:p>
        </w:tc>
        <w:tc>
          <w:tcPr>
            <w:tcW w:type="dxa" w:w="2880"/>
          </w:tcPr>
          <w:p>
            <w:r>
              <w:t>rhizodéposition active · allocation carbonée racinaire ; transfert de carbone récent vers la rhizosphère</w:t>
            </w:r>
          </w:p>
        </w:tc>
      </w:tr>
      <w:tr>
        <w:tc>
          <w:tcPr>
            <w:tcW w:type="dxa" w:w="2880"/>
          </w:tcPr>
          <w:p>
            <w:r>
              <w:t>BRV</w:t>
            </w:r>
          </w:p>
        </w:tc>
        <w:tc>
          <w:tcPr>
            <w:tcW w:type="dxa" w:w="2880"/>
          </w:tcPr>
          <w:p>
            <w:r>
              <w:t>Mature ramial wood ; Aged ramial chipped wood.</w:t>
            </w:r>
          </w:p>
        </w:tc>
        <w:tc>
          <w:tcPr>
            <w:tcW w:type="dxa" w:w="2880"/>
          </w:tcPr>
          <w:p>
            <w:r>
              <w:t>Bois raméal vieux.</w:t>
            </w:r>
          </w:p>
        </w:tc>
      </w:tr>
      <w:tr>
        <w:tc>
          <w:tcPr>
            <w:tcW w:type="dxa" w:w="2880"/>
          </w:tcPr>
          <w:p>
            <w:r>
              <w:t>Bioréacteur microbien</w:t>
            </w:r>
          </w:p>
        </w:tc>
        <w:tc>
          <w:tcPr>
            <w:tcW w:type="dxa" w:w="2880"/>
          </w:tcPr>
          <w:p>
            <w:r>
              <w:t>Microbial Bioreactor</w:t>
            </w:r>
          </w:p>
        </w:tc>
        <w:tc>
          <w:tcPr>
            <w:tcW w:type="dxa" w:w="2880"/>
          </w:tcPr>
          <w:p>
            <w:r>
              <w:t>microréservoir d'activité biologique ; Réacteur biologique.</w:t>
            </w:r>
          </w:p>
        </w:tc>
      </w:tr>
      <w:tr>
        <w:tc>
          <w:tcPr>
            <w:tcW w:type="dxa" w:w="2880"/>
          </w:tcPr>
          <w:p>
            <w:r>
              <w:t>CSSP</w:t>
            </w:r>
          </w:p>
        </w:tc>
        <w:tc>
          <w:tcPr>
            <w:tcW w:type="dxa" w:w="2880"/>
          </w:tcPr>
          <w:p>
            <w:r>
              <w:t>common symbiosis signaling pathway</w:t>
            </w:r>
          </w:p>
        </w:tc>
        <w:tc>
          <w:tcPr>
            <w:tcW w:type="dxa" w:w="2880"/>
          </w:tcPr>
          <w:p>
            <w:r/>
          </w:p>
        </w:tc>
      </w:tr>
      <w:tr>
        <w:tc>
          <w:tcPr>
            <w:tcW w:type="dxa" w:w="2880"/>
          </w:tcPr>
          <w:p>
            <w:r>
              <w:t>Chimiotactisme racinaire</w:t>
            </w:r>
          </w:p>
        </w:tc>
        <w:tc>
          <w:tcPr>
            <w:tcW w:type="dxa" w:w="2880"/>
          </w:tcPr>
          <w:p>
            <w:r>
              <w:t>Root chemotaxis</w:t>
            </w:r>
          </w:p>
        </w:tc>
        <w:tc>
          <w:tcPr>
            <w:tcW w:type="dxa" w:w="2880"/>
          </w:tcPr>
          <w:p>
            <w:r/>
          </w:p>
        </w:tc>
      </w:tr>
      <w:tr>
        <w:tc>
          <w:tcPr>
            <w:tcW w:type="dxa" w:w="2880"/>
          </w:tcPr>
          <w:p>
            <w:r>
              <w:t>Composés organiques volatils</w:t>
            </w:r>
          </w:p>
        </w:tc>
        <w:tc>
          <w:tcPr>
            <w:tcW w:type="dxa" w:w="2880"/>
          </w:tcPr>
          <w:p>
            <w:r>
              <w:t>Volatile organic compounds</w:t>
            </w:r>
          </w:p>
        </w:tc>
        <w:tc>
          <w:tcPr>
            <w:tcW w:type="dxa" w:w="2880"/>
          </w:tcPr>
          <w:p>
            <w:r>
              <w:t>COV</w:t>
            </w:r>
          </w:p>
        </w:tc>
      </w:tr>
      <w:tr>
        <w:tc>
          <w:tcPr>
            <w:tcW w:type="dxa" w:w="2880"/>
          </w:tcPr>
          <w:p>
            <w:r>
              <w:t>DAMP</w:t>
            </w:r>
          </w:p>
        </w:tc>
        <w:tc>
          <w:tcPr>
            <w:tcW w:type="dxa" w:w="2880"/>
          </w:tcPr>
          <w:p>
            <w:r>
              <w:t>damage-associated molecular pattern</w:t>
            </w:r>
          </w:p>
        </w:tc>
        <w:tc>
          <w:tcPr>
            <w:tcW w:type="dxa" w:w="2880"/>
          </w:tcPr>
          <w:p>
            <w:r/>
          </w:p>
        </w:tc>
      </w:tr>
      <w:tr>
        <w:tc>
          <w:tcPr>
            <w:tcW w:type="dxa" w:w="2880"/>
          </w:tcPr>
          <w:p>
            <w:r>
              <w:t>Dark Septate Endophytes (DSE)</w:t>
            </w:r>
          </w:p>
        </w:tc>
        <w:tc>
          <w:tcPr>
            <w:tcW w:type="dxa" w:w="2880"/>
          </w:tcPr>
          <w:p>
            <w:r>
              <w:t>Dark Septate Endophytes (DSE)</w:t>
            </w:r>
          </w:p>
        </w:tc>
        <w:tc>
          <w:tcPr>
            <w:tcW w:type="dxa" w:w="2880"/>
          </w:tcPr>
          <w:p>
            <w:r/>
          </w:p>
        </w:tc>
      </w:tr>
      <w:tr>
        <w:tc>
          <w:tcPr>
            <w:tcW w:type="dxa" w:w="2880"/>
          </w:tcPr>
          <w:p>
            <w:r>
              <w:t>EC sève foliaire</w:t>
            </w:r>
          </w:p>
        </w:tc>
        <w:tc>
          <w:tcPr>
            <w:tcW w:type="dxa" w:w="2880"/>
          </w:tcPr>
          <w:p>
            <w:r>
              <w:t>leaf sap electrical conductivity</w:t>
            </w:r>
          </w:p>
        </w:tc>
        <w:tc>
          <w:tcPr>
            <w:tcW w:type="dxa" w:w="2880"/>
          </w:tcPr>
          <w:p>
            <w:r/>
          </w:p>
        </w:tc>
      </w:tr>
      <w:tr>
        <w:tc>
          <w:tcPr>
            <w:tcW w:type="dxa" w:w="2880"/>
          </w:tcPr>
          <w:p>
            <w:r>
              <w:t>ETI</w:t>
            </w:r>
          </w:p>
        </w:tc>
        <w:tc>
          <w:tcPr>
            <w:tcW w:type="dxa" w:w="2880"/>
          </w:tcPr>
          <w:p>
            <w:r>
              <w:t>effector-triggered immunity</w:t>
            </w:r>
          </w:p>
        </w:tc>
        <w:tc>
          <w:tcPr>
            <w:tcW w:type="dxa" w:w="2880"/>
          </w:tcPr>
          <w:p>
            <w:r/>
          </w:p>
        </w:tc>
      </w:tr>
      <w:tr>
        <w:tc>
          <w:tcPr>
            <w:tcW w:type="dxa" w:w="2880"/>
          </w:tcPr>
          <w:p>
            <w:r>
              <w:t>Elicitation par les débris microbiens</w:t>
            </w:r>
          </w:p>
        </w:tc>
        <w:tc>
          <w:tcPr>
            <w:tcW w:type="dxa" w:w="2880"/>
          </w:tcPr>
          <w:p>
            <w:r>
              <w:t>Elicitation by Microbial Debris</w:t>
            </w:r>
          </w:p>
        </w:tc>
        <w:tc>
          <w:tcPr>
            <w:tcW w:type="dxa" w:w="2880"/>
          </w:tcPr>
          <w:p>
            <w:r>
              <w:t>induction par les MAMP ; élicitation par les détrimétabolites</w:t>
            </w:r>
          </w:p>
        </w:tc>
      </w:tr>
      <w:tr>
        <w:tc>
          <w:tcPr>
            <w:tcW w:type="dxa" w:w="2880"/>
          </w:tcPr>
          <w:p>
            <w:r>
              <w:t>Endophytes</w:t>
            </w:r>
          </w:p>
        </w:tc>
        <w:tc>
          <w:tcPr>
            <w:tcW w:type="dxa" w:w="2880"/>
          </w:tcPr>
          <w:p>
            <w:r>
              <w:t>Endophytes</w:t>
            </w:r>
          </w:p>
        </w:tc>
        <w:tc>
          <w:tcPr>
            <w:tcW w:type="dxa" w:w="2880"/>
          </w:tcPr>
          <w:p>
            <w:r>
              <w:t>micro-organismes endophytes ; flore endophyte ; Micro-organismes endophytes.</w:t>
            </w:r>
          </w:p>
        </w:tc>
      </w:tr>
      <w:tr>
        <w:tc>
          <w:tcPr>
            <w:tcW w:type="dxa" w:w="2880"/>
          </w:tcPr>
          <w:p>
            <w:r>
              <w:t>FPJ</w:t>
            </w:r>
          </w:p>
        </w:tc>
        <w:tc>
          <w:tcPr>
            <w:tcW w:type="dxa" w:w="2880"/>
          </w:tcPr>
          <w:p>
            <w:r>
              <w:t>Fermented Plant Juice ; FPJ.</w:t>
            </w:r>
          </w:p>
        </w:tc>
        <w:tc>
          <w:tcPr>
            <w:tcW w:type="dxa" w:w="2880"/>
          </w:tcPr>
          <w:p>
            <w:r>
              <w:t>Jus de plante fermenté.</w:t>
            </w:r>
          </w:p>
        </w:tc>
      </w:tr>
      <w:tr>
        <w:tc>
          <w:tcPr>
            <w:tcW w:type="dxa" w:w="2880"/>
          </w:tcPr>
          <w:p>
            <w:r>
              <w:t>Flavonoïdes nodulation</w:t>
            </w:r>
          </w:p>
        </w:tc>
        <w:tc>
          <w:tcPr>
            <w:tcW w:type="dxa" w:w="2880"/>
          </w:tcPr>
          <w:p>
            <w:r>
              <w:t>Nodulation flavonoids</w:t>
            </w:r>
          </w:p>
        </w:tc>
        <w:tc>
          <w:tcPr>
            <w:tcW w:type="dxa" w:w="2880"/>
          </w:tcPr>
          <w:p>
            <w:r/>
          </w:p>
        </w:tc>
      </w:tr>
      <w:tr>
        <w:tc>
          <w:tcPr>
            <w:tcW w:type="dxa" w:w="2880"/>
          </w:tcPr>
          <w:p>
            <w:r>
              <w:t>ISR</w:t>
            </w:r>
          </w:p>
        </w:tc>
        <w:tc>
          <w:tcPr>
            <w:tcW w:type="dxa" w:w="2880"/>
          </w:tcPr>
          <w:p>
            <w:r>
              <w:t>induced systemic resistance (ISR)</w:t>
            </w:r>
          </w:p>
        </w:tc>
        <w:tc>
          <w:tcPr>
            <w:tcW w:type="dxa" w:w="2880"/>
          </w:tcPr>
          <w:p>
            <w:r>
              <w:t>Résistance Systémique Induite ; RSI</w:t>
            </w:r>
          </w:p>
        </w:tc>
      </w:tr>
      <w:tr>
        <w:tc>
          <w:tcPr>
            <w:tcW w:type="dxa" w:w="2880"/>
          </w:tcPr>
          <w:p>
            <w:r>
              <w:t>LCO / facteurs Myc</w:t>
            </w:r>
          </w:p>
        </w:tc>
        <w:tc>
          <w:tcPr>
            <w:tcW w:type="dxa" w:w="2880"/>
          </w:tcPr>
          <w:p>
            <w:r>
              <w:t>lipochitooligosaccharides (LCO) / Myc factors</w:t>
            </w:r>
          </w:p>
        </w:tc>
        <w:tc>
          <w:tcPr>
            <w:tcW w:type="dxa" w:w="2880"/>
          </w:tcPr>
          <w:p>
            <w:r>
              <w:t>facteurs Myc · signaux LCO · facteurs Nod ; lipo-chitooligosaccharides</w:t>
            </w:r>
          </w:p>
        </w:tc>
      </w:tr>
      <w:tr>
        <w:tc>
          <w:tcPr>
            <w:tcW w:type="dxa" w:w="2880"/>
          </w:tcPr>
          <w:p>
            <w:r>
              <w:t>Loi de la Trophobiose</w:t>
            </w:r>
          </w:p>
        </w:tc>
        <w:tc>
          <w:tcPr>
            <w:tcW w:type="dxa" w:w="2880"/>
          </w:tcPr>
          <w:p>
            <w:r>
              <w:t>trophobiosis law</w:t>
            </w:r>
          </w:p>
        </w:tc>
        <w:tc>
          <w:tcPr>
            <w:tcW w:type="dxa" w:w="2880"/>
          </w:tcPr>
          <w:p>
            <w:r>
              <w:t>trophobiose · loi de Chaboussou ; théorie de la santé des plantes par la nutrition</w:t>
            </w:r>
          </w:p>
        </w:tc>
      </w:tr>
      <w:tr>
        <w:tc>
          <w:tcPr>
            <w:tcW w:type="dxa" w:w="2880"/>
          </w:tcPr>
          <w:p>
            <w:r>
              <w:t>LysM-RLK</w:t>
            </w:r>
          </w:p>
        </w:tc>
        <w:tc>
          <w:tcPr>
            <w:tcW w:type="dxa" w:w="2880"/>
          </w:tcPr>
          <w:p>
            <w:r>
              <w:t>LysM receptor-like kinase</w:t>
            </w:r>
          </w:p>
        </w:tc>
        <w:tc>
          <w:tcPr>
            <w:tcW w:type="dxa" w:w="2880"/>
          </w:tcPr>
          <w:p>
            <w:r/>
          </w:p>
        </w:tc>
      </w:tr>
      <w:tr>
        <w:tc>
          <w:tcPr>
            <w:tcW w:type="dxa" w:w="2880"/>
          </w:tcPr>
          <w:p>
            <w:r>
              <w:t>MAMP/PAMP</w:t>
            </w:r>
          </w:p>
        </w:tc>
        <w:tc>
          <w:tcPr>
            <w:tcW w:type="dxa" w:w="2880"/>
          </w:tcPr>
          <w:p>
            <w:r>
              <w:t>MAMP/PAMP (Microbe/Pathogen-Associated Molecular Patterns)</w:t>
            </w:r>
          </w:p>
        </w:tc>
        <w:tc>
          <w:tcPr>
            <w:tcW w:type="dxa" w:w="2880"/>
          </w:tcPr>
          <w:p>
            <w:r/>
          </w:p>
        </w:tc>
      </w:tr>
      <w:tr>
        <w:tc>
          <w:tcPr>
            <w:tcW w:type="dxa" w:w="2880"/>
          </w:tcPr>
          <w:p>
            <w:r>
              <w:t>MIST (Microbial-Induced Systemic Tolerance)</w:t>
            </w:r>
          </w:p>
        </w:tc>
        <w:tc>
          <w:tcPr>
            <w:tcW w:type="dxa" w:w="2880"/>
          </w:tcPr>
          <w:p>
            <w:r>
              <w:t>MIST (Microbial-Induced Systemic Tolerance)</w:t>
            </w:r>
          </w:p>
        </w:tc>
        <w:tc>
          <w:tcPr>
            <w:tcW w:type="dxa" w:w="2880"/>
          </w:tcPr>
          <w:p>
            <w:r/>
          </w:p>
        </w:tc>
      </w:tr>
      <w:tr>
        <w:tc>
          <w:tcPr>
            <w:tcW w:type="dxa" w:w="2880"/>
          </w:tcPr>
          <w:p>
            <w:r>
              <w:t>NLR</w:t>
            </w:r>
          </w:p>
        </w:tc>
        <w:tc>
          <w:tcPr>
            <w:tcW w:type="dxa" w:w="2880"/>
          </w:tcPr>
          <w:p>
            <w:r>
              <w:t>NLR receptor</w:t>
            </w:r>
          </w:p>
        </w:tc>
        <w:tc>
          <w:tcPr>
            <w:tcW w:type="dxa" w:w="2880"/>
          </w:tcPr>
          <w:p>
            <w:r/>
          </w:p>
        </w:tc>
      </w:tr>
      <w:tr>
        <w:tc>
          <w:tcPr>
            <w:tcW w:type="dxa" w:w="2880"/>
          </w:tcPr>
          <w:p>
            <w:r>
              <w:t>OHN</w:t>
            </w:r>
          </w:p>
        </w:tc>
        <w:tc>
          <w:tcPr>
            <w:tcW w:type="dxa" w:w="2880"/>
          </w:tcPr>
          <w:p>
            <w:r>
              <w:t>Oriental Herbal Nutrient ; OHN.</w:t>
            </w:r>
          </w:p>
        </w:tc>
        <w:tc>
          <w:tcPr>
            <w:tcW w:type="dxa" w:w="2880"/>
          </w:tcPr>
          <w:p>
            <w:r>
              <w:t>Nutriments d'herbes orientales.</w:t>
            </w:r>
          </w:p>
        </w:tc>
      </w:tr>
      <w:tr>
        <w:tc>
          <w:tcPr>
            <w:tcW w:type="dxa" w:w="2880"/>
          </w:tcPr>
          <w:p>
            <w:r>
              <w:t>PRR</w:t>
            </w:r>
          </w:p>
        </w:tc>
        <w:tc>
          <w:tcPr>
            <w:tcW w:type="dxa" w:w="2880"/>
          </w:tcPr>
          <w:p>
            <w:r>
              <w:t>pattern-recognition receptor</w:t>
            </w:r>
          </w:p>
        </w:tc>
        <w:tc>
          <w:tcPr>
            <w:tcW w:type="dxa" w:w="2880"/>
          </w:tcPr>
          <w:p>
            <w:r/>
          </w:p>
        </w:tc>
      </w:tr>
      <w:tr>
        <w:tc>
          <w:tcPr>
            <w:tcW w:type="dxa" w:w="2880"/>
          </w:tcPr>
          <w:p>
            <w:r>
              <w:t>PTI</w:t>
            </w:r>
          </w:p>
        </w:tc>
        <w:tc>
          <w:tcPr>
            <w:tcW w:type="dxa" w:w="2880"/>
          </w:tcPr>
          <w:p>
            <w:r>
              <w:t>pattern-triggered immunity</w:t>
            </w:r>
          </w:p>
        </w:tc>
        <w:tc>
          <w:tcPr>
            <w:tcW w:type="dxa" w:w="2880"/>
          </w:tcPr>
          <w:p>
            <w:r/>
          </w:p>
        </w:tc>
      </w:tr>
      <w:tr>
        <w:tc>
          <w:tcPr>
            <w:tcW w:type="dxa" w:w="2880"/>
          </w:tcPr>
          <w:p>
            <w:r>
              <w:t>PTI/ETI</w:t>
            </w:r>
          </w:p>
        </w:tc>
        <w:tc>
          <w:tcPr>
            <w:tcW w:type="dxa" w:w="2880"/>
          </w:tcPr>
          <w:p>
            <w:r>
              <w:t>PTI/ETI (Pattern-Triggered / Effector-Triggered Immunity)</w:t>
            </w:r>
          </w:p>
        </w:tc>
        <w:tc>
          <w:tcPr>
            <w:tcW w:type="dxa" w:w="2880"/>
          </w:tcPr>
          <w:p>
            <w:r/>
          </w:p>
        </w:tc>
      </w:tr>
      <w:tr>
        <w:tc>
          <w:tcPr>
            <w:tcW w:type="dxa" w:w="2880"/>
          </w:tcPr>
          <w:p>
            <w:r>
              <w:t>Quorum sensing</w:t>
            </w:r>
          </w:p>
        </w:tc>
        <w:tc>
          <w:tcPr>
            <w:tcW w:type="dxa" w:w="2880"/>
          </w:tcPr>
          <w:p>
            <w:r>
              <w:t>Quorum sensing</w:t>
            </w:r>
          </w:p>
        </w:tc>
        <w:tc>
          <w:tcPr>
            <w:tcW w:type="dxa" w:w="2880"/>
          </w:tcPr>
          <w:p>
            <w:r>
              <w:t>Détection du quorum</w:t>
            </w:r>
          </w:p>
        </w:tc>
      </w:tr>
      <w:tr>
        <w:tc>
          <w:tcPr>
            <w:tcW w:type="dxa" w:w="2880"/>
          </w:tcPr>
          <w:p>
            <w:r>
              <w:t>Rhizodépôts</w:t>
            </w:r>
          </w:p>
        </w:tc>
        <w:tc>
          <w:tcPr>
            <w:tcW w:type="dxa" w:w="2880"/>
          </w:tcPr>
          <w:p>
            <w:r>
              <w:t>Rhizodeposits</w:t>
            </w:r>
          </w:p>
        </w:tc>
        <w:tc>
          <w:tcPr>
            <w:tcW w:type="dxa" w:w="2880"/>
          </w:tcPr>
          <w:p>
            <w:r/>
          </w:p>
        </w:tc>
      </w:tr>
      <w:tr>
        <w:tc>
          <w:tcPr>
            <w:tcW w:type="dxa" w:w="2880"/>
          </w:tcPr>
          <w:p>
            <w:r>
              <w:t>SAR</w:t>
            </w:r>
          </w:p>
        </w:tc>
        <w:tc>
          <w:tcPr>
            <w:tcW w:type="dxa" w:w="2880"/>
          </w:tcPr>
          <w:p>
            <w:r>
              <w:t>systemic acquired resistance (SAR)</w:t>
            </w:r>
          </w:p>
        </w:tc>
        <w:tc>
          <w:tcPr>
            <w:tcW w:type="dxa" w:w="2880"/>
          </w:tcPr>
          <w:p>
            <w:r>
              <w:t>Résistance Systémique Acquise ; RSA</w:t>
            </w:r>
          </w:p>
        </w:tc>
      </w:tr>
      <w:tr>
        <w:tc>
          <w:tcPr>
            <w:tcW w:type="dxa" w:w="2880"/>
          </w:tcPr>
          <w:p>
            <w:r>
              <w:t>SIREM</w:t>
            </w:r>
          </w:p>
        </w:tc>
        <w:tc>
          <w:tcPr>
            <w:tcW w:type="dxa" w:w="2880"/>
          </w:tcPr>
          <w:p>
            <w:r>
              <w:t>SIREM (Système Intégré Rhizosphère-Endosphère-Microbiome)</w:t>
            </w:r>
          </w:p>
        </w:tc>
        <w:tc>
          <w:tcPr>
            <w:tcW w:type="dxa" w:w="2880"/>
          </w:tcPr>
          <w:p>
            <w:r>
              <w:t>aucun (acronyme spécifique au concept d'holobionte) ; Signaux et Interactions Racines-Environnement Microbien.</w:t>
            </w:r>
          </w:p>
        </w:tc>
      </w:tr>
      <w:tr>
        <w:tc>
          <w:tcPr>
            <w:tcW w:type="dxa" w:w="2880"/>
          </w:tcPr>
          <w:p>
            <w:r>
              <w:t>UCYN-A</w:t>
            </w:r>
          </w:p>
        </w:tc>
        <w:tc>
          <w:tcPr>
            <w:tcW w:type="dxa" w:w="2880"/>
          </w:tcPr>
          <w:p>
            <w:r>
              <w:t>UCYN-A</w:t>
            </w:r>
          </w:p>
        </w:tc>
        <w:tc>
          <w:tcPr>
            <w:tcW w:type="dxa" w:w="2880"/>
          </w:tcPr>
          <w:p>
            <w:r/>
          </w:p>
        </w:tc>
      </w:tr>
      <w:tr>
        <w:tc>
          <w:tcPr>
            <w:tcW w:type="dxa" w:w="2880"/>
          </w:tcPr>
          <w:p>
            <w:r>
              <w:t>VOC végétaux (composés organiques volatils)</w:t>
            </w:r>
          </w:p>
        </w:tc>
        <w:tc>
          <w:tcPr>
            <w:tcW w:type="dxa" w:w="2880"/>
          </w:tcPr>
          <w:p>
            <w:r>
              <w:t>plant volatile organic compounds (VOCs)</w:t>
            </w:r>
          </w:p>
        </w:tc>
        <w:tc>
          <w:tcPr>
            <w:tcW w:type="dxa" w:w="2880"/>
          </w:tcPr>
          <w:p>
            <w:r/>
          </w:p>
        </w:tc>
      </w:tr>
      <w:tr>
        <w:tc>
          <w:tcPr>
            <w:tcW w:type="dxa" w:w="2880"/>
          </w:tcPr>
          <w:p>
            <w:r>
              <w:t>acide abscissique</w:t>
            </w:r>
          </w:p>
        </w:tc>
        <w:tc>
          <w:tcPr>
            <w:tcW w:type="dxa" w:w="2880"/>
          </w:tcPr>
          <w:p>
            <w:r>
              <w:t>abscisic acid (ABA)</w:t>
            </w:r>
          </w:p>
        </w:tc>
        <w:tc>
          <w:tcPr>
            <w:tcW w:type="dxa" w:w="2880"/>
          </w:tcPr>
          <w:p>
            <w:r>
              <w:t>ABA.</w:t>
            </w:r>
          </w:p>
        </w:tc>
      </w:tr>
      <w:tr>
        <w:tc>
          <w:tcPr>
            <w:tcW w:type="dxa" w:w="2880"/>
          </w:tcPr>
          <w:p>
            <w:r>
              <w:t>acide jasmonique</w:t>
            </w:r>
          </w:p>
        </w:tc>
        <w:tc>
          <w:tcPr>
            <w:tcW w:type="dxa" w:w="2880"/>
          </w:tcPr>
          <w:p>
            <w:r>
              <w:t>jasmonic acid</w:t>
            </w:r>
          </w:p>
        </w:tc>
        <w:tc>
          <w:tcPr>
            <w:tcW w:type="dxa" w:w="2880"/>
          </w:tcPr>
          <w:p>
            <w:r>
              <w:t>AJ ; Jasmonate.</w:t>
            </w:r>
          </w:p>
        </w:tc>
      </w:tr>
      <w:tr>
        <w:tc>
          <w:tcPr>
            <w:tcW w:type="dxa" w:w="2880"/>
          </w:tcPr>
          <w:p>
            <w:r>
              <w:t>acide salicylique</w:t>
            </w:r>
          </w:p>
        </w:tc>
        <w:tc>
          <w:tcPr>
            <w:tcW w:type="dxa" w:w="2880"/>
          </w:tcPr>
          <w:p>
            <w:r>
              <w:t>salicylic acid</w:t>
            </w:r>
          </w:p>
        </w:tc>
        <w:tc>
          <w:tcPr>
            <w:tcW w:type="dxa" w:w="2880"/>
          </w:tcPr>
          <w:p>
            <w:r>
              <w:t>AS.</w:t>
            </w:r>
          </w:p>
        </w:tc>
      </w:tr>
      <w:tr>
        <w:tc>
          <w:tcPr>
            <w:tcW w:type="dxa" w:w="2880"/>
          </w:tcPr>
          <w:p>
            <w:r>
              <w:t>acidification rhizosphérique</w:t>
            </w:r>
          </w:p>
        </w:tc>
        <w:tc>
          <w:tcPr>
            <w:tcW w:type="dxa" w:w="2880"/>
          </w:tcPr>
          <w:p>
            <w:r>
              <w:t>rhizosphere acidification</w:t>
            </w:r>
          </w:p>
        </w:tc>
        <w:tc>
          <w:tcPr>
            <w:tcW w:type="dxa" w:w="2880"/>
          </w:tcPr>
          <w:p>
            <w:r>
              <w:t>abaissement du pH rhizosphérique ; sécrétion de protons racinaires ; Acidification de la rhizosphère.</w:t>
            </w:r>
          </w:p>
        </w:tc>
      </w:tr>
      <w:tr>
        <w:tc>
          <w:tcPr>
            <w:tcW w:type="dxa" w:w="2880"/>
          </w:tcPr>
          <w:p>
            <w:r>
              <w:t>allocation du carbone photosynthétique</w:t>
            </w:r>
          </w:p>
        </w:tc>
        <w:tc>
          <w:tcPr>
            <w:tcW w:type="dxa" w:w="2880"/>
          </w:tcPr>
          <w:p>
            <w:r>
              <w:t>photosynthetic carbon allocation</w:t>
            </w:r>
          </w:p>
        </w:tc>
        <w:tc>
          <w:tcPr>
            <w:tcW w:type="dxa" w:w="2880"/>
          </w:tcPr>
          <w:p>
            <w:r>
              <w:t>flux de carbone assimilé ; partitionnement du carbone fixé ; Allocation carbonée.</w:t>
            </w:r>
          </w:p>
        </w:tc>
      </w:tr>
      <w:tr>
        <w:tc>
          <w:tcPr>
            <w:tcW w:type="dxa" w:w="2880"/>
          </w:tcPr>
          <w:p>
            <w:r>
              <w:t>anthocyanines (marqueur de stress)</w:t>
            </w:r>
          </w:p>
        </w:tc>
        <w:tc>
          <w:tcPr>
            <w:tcW w:type="dxa" w:w="2880"/>
          </w:tcPr>
          <w:p>
            <w:r>
              <w:t>anthocyanins (stress marker)</w:t>
            </w:r>
          </w:p>
        </w:tc>
        <w:tc>
          <w:tcPr>
            <w:tcW w:type="dxa" w:w="2880"/>
          </w:tcPr>
          <w:p>
            <w:r>
              <w:t>pigmentation pourpre, anthocyanes</w:t>
            </w:r>
          </w:p>
        </w:tc>
      </w:tr>
      <w:tr>
        <w:tc>
          <w:tcPr>
            <w:tcW w:type="dxa" w:w="2880"/>
          </w:tcPr>
          <w:p>
            <w:r>
              <w:t>auxines</w:t>
            </w:r>
          </w:p>
        </w:tc>
        <w:tc>
          <w:tcPr>
            <w:tcW w:type="dxa" w:w="2880"/>
          </w:tcPr>
          <w:p>
            <w:r>
              <w:t>auxins</w:t>
            </w:r>
          </w:p>
        </w:tc>
        <w:tc>
          <w:tcPr>
            <w:tcW w:type="dxa" w:w="2880"/>
          </w:tcPr>
          <w:p>
            <w:r>
              <w:t>acide indole-3-acétique ; hormones de croissance</w:t>
            </w:r>
          </w:p>
        </w:tc>
      </w:tr>
      <w:tr>
        <w:tc>
          <w:tcPr>
            <w:tcW w:type="dxa" w:w="2880"/>
          </w:tcPr>
          <w:p>
            <w:r>
              <w:t>cadre coût-bénéfice</w:t>
            </w:r>
          </w:p>
        </w:tc>
        <w:tc>
          <w:tcPr>
            <w:tcW w:type="dxa" w:w="2880"/>
          </w:tcPr>
          <w:p>
            <w:r>
              <w:t>cost-benefit framework</w:t>
            </w:r>
          </w:p>
        </w:tc>
        <w:tc>
          <w:tcPr>
            <w:tcW w:type="dxa" w:w="2880"/>
          </w:tcPr>
          <w:p>
            <w:r/>
          </w:p>
        </w:tc>
      </w:tr>
      <w:tr>
        <w:tc>
          <w:tcPr>
            <w:tcW w:type="dxa" w:w="2880"/>
          </w:tcPr>
          <w:p>
            <w:r>
              <w:t>cadre temps-profond trois piliers</w:t>
            </w:r>
          </w:p>
        </w:tc>
        <w:tc>
          <w:tcPr>
            <w:tcW w:type="dxa" w:w="2880"/>
          </w:tcPr>
          <w:p>
            <w:r>
              <w:t>deep-time three-pillar framework</w:t>
            </w:r>
          </w:p>
        </w:tc>
        <w:tc>
          <w:tcPr>
            <w:tcW w:type="dxa" w:w="2880"/>
          </w:tcPr>
          <w:p>
            <w:r/>
          </w:p>
        </w:tc>
      </w:tr>
      <w:tr>
        <w:tc>
          <w:tcPr>
            <w:tcW w:type="dxa" w:w="2880"/>
          </w:tcPr>
          <w:p>
            <w:r>
              <w:t>chauffage racinaire</w:t>
            </w:r>
          </w:p>
        </w:tc>
        <w:tc>
          <w:tcPr>
            <w:tcW w:type="dxa" w:w="2880"/>
          </w:tcPr>
          <w:p>
            <w:r>
              <w:t>root zone heating</w:t>
            </w:r>
          </w:p>
        </w:tc>
        <w:tc>
          <w:tcPr>
            <w:tcW w:type="dxa" w:w="2880"/>
          </w:tcPr>
          <w:p>
            <w:r>
              <w:t>Stress thermique rhizosphérique.</w:t>
            </w:r>
          </w:p>
        </w:tc>
      </w:tr>
      <w:tr>
        <w:tc>
          <w:tcPr>
            <w:tcW w:type="dxa" w:w="2880"/>
          </w:tcPr>
          <w:p>
            <w:r>
              <w:t>chimiotaxisme</w:t>
            </w:r>
          </w:p>
        </w:tc>
        <w:tc>
          <w:tcPr>
            <w:tcW w:type="dxa" w:w="2880"/>
          </w:tcPr>
          <w:p>
            <w:r>
              <w:t>chemotaxis</w:t>
            </w:r>
          </w:p>
        </w:tc>
        <w:tc>
          <w:tcPr>
            <w:tcW w:type="dxa" w:w="2880"/>
          </w:tcPr>
          <w:p>
            <w:r>
              <w:t>chimiotaxie ; chimiotactisme ; chimiotactisme ; Chimiotaxie.</w:t>
            </w:r>
          </w:p>
        </w:tc>
      </w:tr>
      <w:tr>
        <w:tc>
          <w:tcPr>
            <w:tcW w:type="dxa" w:w="2880"/>
          </w:tcPr>
          <w:p>
            <w:r>
              <w:t>chlorose</w:t>
            </w:r>
          </w:p>
        </w:tc>
        <w:tc>
          <w:tcPr>
            <w:tcW w:type="dxa" w:w="2880"/>
          </w:tcPr>
          <w:p>
            <w:r>
              <w:t>chlorosis</w:t>
            </w:r>
          </w:p>
        </w:tc>
        <w:tc>
          <w:tcPr>
            <w:tcW w:type="dxa" w:w="2880"/>
          </w:tcPr>
          <w:p>
            <w:r>
              <w:t>jaunissement foliaire</w:t>
            </w:r>
          </w:p>
        </w:tc>
      </w:tr>
      <w:tr>
        <w:tc>
          <w:tcPr>
            <w:tcW w:type="dxa" w:w="2880"/>
          </w:tcPr>
          <w:p>
            <w:r>
              <w:t>chlorose interveinale</w:t>
            </w:r>
          </w:p>
        </w:tc>
        <w:tc>
          <w:tcPr>
            <w:tcW w:type="dxa" w:w="2880"/>
          </w:tcPr>
          <w:p>
            <w:r>
              <w:t>interveinal chlorosis</w:t>
            </w:r>
          </w:p>
        </w:tc>
        <w:tc>
          <w:tcPr>
            <w:tcW w:type="dxa" w:w="2880"/>
          </w:tcPr>
          <w:p>
            <w:r>
              <w:t>chlorose internervaire</w:t>
            </w:r>
          </w:p>
        </w:tc>
      </w:tr>
      <w:tr>
        <w:tc>
          <w:tcPr>
            <w:tcW w:type="dxa" w:w="2880"/>
          </w:tcPr>
          <w:p>
            <w:r>
              <w:t>chélation par acides aminés</w:t>
            </w:r>
          </w:p>
        </w:tc>
        <w:tc>
          <w:tcPr>
            <w:tcW w:type="dxa" w:w="2880"/>
          </w:tcPr>
          <w:p>
            <w:r>
              <w:t>amino acid chelation</w:t>
            </w:r>
          </w:p>
        </w:tc>
        <w:tc>
          <w:tcPr>
            <w:tcW w:type="dxa" w:w="2880"/>
          </w:tcPr>
          <w:p>
            <w:r/>
          </w:p>
        </w:tc>
      </w:tr>
      <w:tr>
        <w:tc>
          <w:tcPr>
            <w:tcW w:type="dxa" w:w="2880"/>
          </w:tcPr>
          <w:p>
            <w:r>
              <w:t>cobalamine (vitamine B12)</w:t>
            </w:r>
          </w:p>
        </w:tc>
        <w:tc>
          <w:tcPr>
            <w:tcW w:type="dxa" w:w="2880"/>
          </w:tcPr>
          <w:p>
            <w:r>
              <w:t>cobalamin (vitamin B12)</w:t>
            </w:r>
          </w:p>
        </w:tc>
        <w:tc>
          <w:tcPr>
            <w:tcW w:type="dxa" w:w="2880"/>
          </w:tcPr>
          <w:p>
            <w:r/>
          </w:p>
        </w:tc>
      </w:tr>
      <w:tr>
        <w:tc>
          <w:tcPr>
            <w:tcW w:type="dxa" w:w="2880"/>
          </w:tcPr>
          <w:p>
            <w:r>
              <w:t>cobalt (micronutriment)</w:t>
            </w:r>
          </w:p>
        </w:tc>
        <w:tc>
          <w:tcPr>
            <w:tcW w:type="dxa" w:w="2880"/>
          </w:tcPr>
          <w:p>
            <w:r>
              <w:t>cobalt (micronutrient)</w:t>
            </w:r>
          </w:p>
        </w:tc>
        <w:tc>
          <w:tcPr>
            <w:tcW w:type="dxa" w:w="2880"/>
          </w:tcPr>
          <w:p>
            <w:r/>
          </w:p>
        </w:tc>
      </w:tr>
      <w:tr>
        <w:tc>
          <w:tcPr>
            <w:tcW w:type="dxa" w:w="2880"/>
          </w:tcPr>
          <w:p>
            <w:r>
              <w:t>communication trans-règnes</w:t>
            </w:r>
          </w:p>
        </w:tc>
        <w:tc>
          <w:tcPr>
            <w:tcW w:type="dxa" w:w="2880"/>
          </w:tcPr>
          <w:p>
            <w:r>
              <w:t>cross-kingdom communication</w:t>
            </w:r>
          </w:p>
        </w:tc>
        <w:tc>
          <w:tcPr>
            <w:tcW w:type="dxa" w:w="2880"/>
          </w:tcPr>
          <w:p>
            <w:r/>
          </w:p>
        </w:tc>
      </w:tr>
      <w:tr>
        <w:tc>
          <w:tcPr>
            <w:tcW w:type="dxa" w:w="2880"/>
          </w:tcPr>
          <w:p>
            <w:r>
              <w:t>compétition apparente</w:t>
            </w:r>
          </w:p>
        </w:tc>
        <w:tc>
          <w:tcPr>
            <w:tcW w:type="dxa" w:w="2880"/>
          </w:tcPr>
          <w:p>
            <w:r>
              <w:t>apparent competition</w:t>
            </w:r>
          </w:p>
        </w:tc>
        <w:tc>
          <w:tcPr>
            <w:tcW w:type="dxa" w:w="2880"/>
          </w:tcPr>
          <w:p>
            <w:r>
              <w:t>interaction indirecte par médiation d'un ennemi commun ; Compétition indirecte par prédation.</w:t>
            </w:r>
          </w:p>
        </w:tc>
      </w:tr>
      <w:tr>
        <w:tc>
          <w:tcPr>
            <w:tcW w:type="dxa" w:w="2880"/>
          </w:tcPr>
          <w:p>
            <w:r>
              <w:t>continuum ami-ennemi</w:t>
            </w:r>
          </w:p>
        </w:tc>
        <w:tc>
          <w:tcPr>
            <w:tcW w:type="dxa" w:w="2880"/>
          </w:tcPr>
          <w:p>
            <w:r>
              <w:t>friend-foe continuum</w:t>
            </w:r>
          </w:p>
        </w:tc>
        <w:tc>
          <w:tcPr>
            <w:tcW w:type="dxa" w:w="2880"/>
          </w:tcPr>
          <w:p>
            <w:r/>
          </w:p>
        </w:tc>
      </w:tr>
      <w:tr>
        <w:tc>
          <w:tcPr>
            <w:tcW w:type="dxa" w:w="2880"/>
          </w:tcPr>
          <w:p>
            <w:r>
              <w:t>continuum sol-intestin</w:t>
            </w:r>
          </w:p>
        </w:tc>
        <w:tc>
          <w:tcPr>
            <w:tcW w:type="dxa" w:w="2880"/>
          </w:tcPr>
          <w:p>
            <w:r>
              <w:t>soil-gut continuum</w:t>
            </w:r>
          </w:p>
        </w:tc>
        <w:tc>
          <w:tcPr>
            <w:tcW w:type="dxa" w:w="2880"/>
          </w:tcPr>
          <w:p>
            <w:r>
              <w:t>interface microbiote du sol-microbiote humain ; axe sol-santé ; Axe sol-intestin.</w:t>
            </w:r>
          </w:p>
        </w:tc>
      </w:tr>
      <w:tr>
        <w:tc>
          <w:tcPr>
            <w:tcW w:type="dxa" w:w="2880"/>
          </w:tcPr>
          <w:p>
            <w:r>
              <w:t>contrôle immunitaire (gatekeeping)</w:t>
            </w:r>
          </w:p>
        </w:tc>
        <w:tc>
          <w:tcPr>
            <w:tcW w:type="dxa" w:w="2880"/>
          </w:tcPr>
          <w:p>
            <w:r>
              <w:t>immune gatekeeping</w:t>
            </w:r>
          </w:p>
        </w:tc>
        <w:tc>
          <w:tcPr>
            <w:tcW w:type="dxa" w:w="2880"/>
          </w:tcPr>
          <w:p>
            <w:r/>
          </w:p>
        </w:tc>
      </w:tr>
      <w:tr>
        <w:tc>
          <w:tcPr>
            <w:tcW w:type="dxa" w:w="2880"/>
          </w:tcPr>
          <w:p>
            <w:r>
              <w:t>coévolution plante-microbe</w:t>
            </w:r>
          </w:p>
        </w:tc>
        <w:tc>
          <w:tcPr>
            <w:tcW w:type="dxa" w:w="2880"/>
          </w:tcPr>
          <w:p>
            <w:r>
              <w:t>plant-microbe coevolution</w:t>
            </w:r>
          </w:p>
        </w:tc>
        <w:tc>
          <w:tcPr>
            <w:tcW w:type="dxa" w:w="2880"/>
          </w:tcPr>
          <w:p>
            <w:r/>
          </w:p>
        </w:tc>
      </w:tr>
      <w:tr>
        <w:tc>
          <w:tcPr>
            <w:tcW w:type="dxa" w:w="2880"/>
          </w:tcPr>
          <w:p>
            <w:r>
              <w:t>cycle de la rhizophagie</w:t>
            </w:r>
          </w:p>
        </w:tc>
        <w:tc>
          <w:tcPr>
            <w:tcW w:type="dxa" w:w="2880"/>
          </w:tcPr>
          <w:p>
            <w:r>
              <w:t>rhizophagy cycle</w:t>
            </w:r>
          </w:p>
        </w:tc>
        <w:tc>
          <w:tcPr>
            <w:tcW w:type="dxa" w:w="2880"/>
          </w:tcPr>
          <w:p>
            <w:r>
              <w:t>endocytose microbienne racinaire ; Rhizophagie.</w:t>
            </w:r>
          </w:p>
        </w:tc>
      </w:tr>
      <w:tr>
        <w:tc>
          <w:tcPr>
            <w:tcW w:type="dxa" w:w="2880"/>
          </w:tcPr>
          <w:p>
            <w:r>
              <w:t>cytokinines</w:t>
            </w:r>
          </w:p>
        </w:tc>
        <w:tc>
          <w:tcPr>
            <w:tcW w:type="dxa" w:w="2880"/>
          </w:tcPr>
          <w:p>
            <w:r>
              <w:t>cytokinins</w:t>
            </w:r>
          </w:p>
        </w:tc>
        <w:tc>
          <w:tcPr>
            <w:tcW w:type="dxa" w:w="2880"/>
          </w:tcPr>
          <w:p>
            <w:r>
              <w:t>CK.</w:t>
            </w:r>
          </w:p>
        </w:tc>
      </w:tr>
      <w:tr>
        <w:tc>
          <w:tcPr>
            <w:tcW w:type="dxa" w:w="2880"/>
          </w:tcPr>
          <w:p>
            <w:r>
              <w:t>défenses végétales</w:t>
            </w:r>
          </w:p>
        </w:tc>
        <w:tc>
          <w:tcPr>
            <w:tcW w:type="dxa" w:w="2880"/>
          </w:tcPr>
          <w:p>
            <w:r>
              <w:t>plant defenses</w:t>
            </w:r>
          </w:p>
        </w:tc>
        <w:tc>
          <w:tcPr>
            <w:tcW w:type="dxa" w:w="2880"/>
          </w:tcPr>
          <w:p>
            <w:r>
              <w:t>immunité des plantes ; système défensif de l'hôte ; Immunité végétale ; Stimulateurs de défense des plantes.</w:t>
            </w:r>
          </w:p>
        </w:tc>
      </w:tr>
      <w:tr>
        <w:tc>
          <w:tcPr>
            <w:tcW w:type="dxa" w:w="2880"/>
          </w:tcPr>
          <w:p>
            <w:r>
              <w:t>détection du quorum</w:t>
            </w:r>
          </w:p>
        </w:tc>
        <w:tc>
          <w:tcPr>
            <w:tcW w:type="dxa" w:w="2880"/>
          </w:tcPr>
          <w:p>
            <w:r>
              <w:t>quorum sensing</w:t>
            </w:r>
          </w:p>
        </w:tc>
        <w:tc>
          <w:tcPr>
            <w:tcW w:type="dxa" w:w="2880"/>
          </w:tcPr>
          <w:p>
            <w:r>
              <w:t>quorum sensing ; communication intercellulaire bactérienne ; quorum sensing ; Quorum sensing.</w:t>
            </w:r>
          </w:p>
        </w:tc>
      </w:tr>
      <w:tr>
        <w:tc>
          <w:tcPr>
            <w:tcW w:type="dxa" w:w="2880"/>
          </w:tcPr>
          <w:p>
            <w:r>
              <w:t>effet rhizosphère</w:t>
            </w:r>
          </w:p>
        </w:tc>
        <w:tc>
          <w:tcPr>
            <w:tcW w:type="dxa" w:w="2880"/>
          </w:tcPr>
          <w:p>
            <w:r>
              <w:t>rhizosphere effect</w:t>
            </w:r>
          </w:p>
        </w:tc>
        <w:tc>
          <w:tcPr>
            <w:tcW w:type="dxa" w:w="2880"/>
          </w:tcPr>
          <w:p>
            <w:r>
              <w:t>stimulation rhizosphérique ; effet de niche racinaire ; Stimulation rhizosphérique.</w:t>
            </w:r>
          </w:p>
        </w:tc>
      </w:tr>
      <w:tr>
        <w:tc>
          <w:tcPr>
            <w:tcW w:type="dxa" w:w="2880"/>
          </w:tcPr>
          <w:p>
            <w:r>
              <w:t>endophytisme fongique</w:t>
            </w:r>
          </w:p>
        </w:tc>
        <w:tc>
          <w:tcPr>
            <w:tcW w:type="dxa" w:w="2880"/>
          </w:tcPr>
          <w:p>
            <w:r>
              <w:t>fungal endophytism</w:t>
            </w:r>
          </w:p>
        </w:tc>
        <w:tc>
          <w:tcPr>
            <w:tcW w:type="dxa" w:w="2880"/>
          </w:tcPr>
          <w:p>
            <w:r>
              <w:t>Symbiose endophytique fongique.</w:t>
            </w:r>
          </w:p>
        </w:tc>
      </w:tr>
      <w:tr>
        <w:tc>
          <w:tcPr>
            <w:tcW w:type="dxa" w:w="2880"/>
          </w:tcPr>
          <w:p>
            <w:r>
              <w:t>endosphère</w:t>
            </w:r>
          </w:p>
        </w:tc>
        <w:tc>
          <w:tcPr>
            <w:tcW w:type="dxa" w:w="2880"/>
          </w:tcPr>
          <w:p>
            <w:r>
              <w:t>endosphere</w:t>
            </w:r>
          </w:p>
        </w:tc>
        <w:tc>
          <w:tcPr>
            <w:tcW w:type="dxa" w:w="2880"/>
          </w:tcPr>
          <w:p>
            <w:r>
              <w:t>Milieu endophytique.</w:t>
            </w:r>
          </w:p>
        </w:tc>
      </w:tr>
      <w:tr>
        <w:tc>
          <w:tcPr>
            <w:tcW w:type="dxa" w:w="2880"/>
          </w:tcPr>
          <w:p>
            <w:r>
              <w:t>enracinement</w:t>
            </w:r>
          </w:p>
        </w:tc>
        <w:tc>
          <w:tcPr>
            <w:tcW w:type="dxa" w:w="2880"/>
          </w:tcPr>
          <w:p>
            <w:r>
              <w:t>rooting</w:t>
            </w:r>
          </w:p>
        </w:tc>
        <w:tc>
          <w:tcPr>
            <w:tcW w:type="dxa" w:w="2880"/>
          </w:tcPr>
          <w:p>
            <w:r>
              <w:t>développement racinaire ; mise en place du système racinaire</w:t>
            </w:r>
          </w:p>
        </w:tc>
      </w:tr>
      <w:tr>
        <w:tc>
          <w:tcPr>
            <w:tcW w:type="dxa" w:w="2880"/>
          </w:tcPr>
          <w:p>
            <w:r>
              <w:t>exsudats racinaires</w:t>
            </w:r>
          </w:p>
        </w:tc>
        <w:tc>
          <w:tcPr>
            <w:tcW w:type="dxa" w:w="2880"/>
          </w:tcPr>
          <w:p>
            <w:r>
              <w:t>root exudates</w:t>
            </w:r>
          </w:p>
        </w:tc>
        <w:tc>
          <w:tcPr>
            <w:tcW w:type="dxa" w:w="2880"/>
          </w:tcPr>
          <w:p>
            <w:r>
              <w:t>rhizodépôts ; exsudats carbonés ; sécrétions racinaires ; Rhizodépôts solubles.</w:t>
            </w:r>
          </w:p>
        </w:tc>
      </w:tr>
      <w:tr>
        <w:tc>
          <w:tcPr>
            <w:tcW w:type="dxa" w:w="2880"/>
          </w:tcPr>
          <w:p>
            <w:r>
              <w:t>facteurs Nod</w:t>
            </w:r>
          </w:p>
        </w:tc>
        <w:tc>
          <w:tcPr>
            <w:tcW w:type="dxa" w:w="2880"/>
          </w:tcPr>
          <w:p>
            <w:r>
              <w:t>Nod factors</w:t>
            </w:r>
          </w:p>
        </w:tc>
        <w:tc>
          <w:tcPr>
            <w:tcW w:type="dxa" w:w="2880"/>
          </w:tcPr>
          <w:p>
            <w:r/>
          </w:p>
        </w:tc>
      </w:tr>
      <w:tr>
        <w:tc>
          <w:tcPr>
            <w:tcW w:type="dxa" w:w="2880"/>
          </w:tcPr>
          <w:p>
            <w:r>
              <w:t>gibbérellines</w:t>
            </w:r>
          </w:p>
        </w:tc>
        <w:tc>
          <w:tcPr>
            <w:tcW w:type="dxa" w:w="2880"/>
          </w:tcPr>
          <w:p>
            <w:r>
              <w:t>gibberellins</w:t>
            </w:r>
          </w:p>
        </w:tc>
        <w:tc>
          <w:tcPr>
            <w:tcW w:type="dxa" w:w="2880"/>
          </w:tcPr>
          <w:p>
            <w:r>
              <w:t>GA.</w:t>
            </w:r>
          </w:p>
        </w:tc>
      </w:tr>
      <w:tr>
        <w:tc>
          <w:tcPr>
            <w:tcW w:type="dxa" w:w="2880"/>
          </w:tcPr>
          <w:p>
            <w:r>
              <w:t>holobionte</w:t>
            </w:r>
          </w:p>
        </w:tc>
        <w:tc>
          <w:tcPr>
            <w:tcW w:type="dxa" w:w="2880"/>
          </w:tcPr>
          <w:p>
            <w:r>
              <w:t>holobiont</w:t>
            </w:r>
          </w:p>
        </w:tc>
        <w:tc>
          <w:tcPr>
            <w:tcW w:type="dxa" w:w="2880"/>
          </w:tcPr>
          <w:p>
            <w:r>
              <w:t>unité holobionte ; méta-organisme ; unité biologique intégrée</w:t>
            </w:r>
          </w:p>
        </w:tc>
      </w:tr>
      <w:tr>
        <w:tc>
          <w:tcPr>
            <w:tcW w:type="dxa" w:w="2880"/>
          </w:tcPr>
          <w:p>
            <w:r>
              <w:t>hologénome</w:t>
            </w:r>
          </w:p>
        </w:tc>
        <w:tc>
          <w:tcPr>
            <w:tcW w:type="dxa" w:w="2880"/>
          </w:tcPr>
          <w:p>
            <w:r>
              <w:t>hologenome</w:t>
            </w:r>
          </w:p>
        </w:tc>
        <w:tc>
          <w:tcPr>
            <w:tcW w:type="dxa" w:w="2880"/>
          </w:tcPr>
          <w:p>
            <w:r>
              <w:t>génome combiné hôte-microbiote ; génome de l'holobionte ; Génome combiné.</w:t>
            </w:r>
          </w:p>
        </w:tc>
      </w:tr>
      <w:tr>
        <w:tc>
          <w:tcPr>
            <w:tcW w:type="dxa" w:w="2880"/>
          </w:tcPr>
          <w:p>
            <w:r>
              <w:t>hormèse</w:t>
            </w:r>
          </w:p>
        </w:tc>
        <w:tc>
          <w:tcPr>
            <w:tcW w:type="dxa" w:w="2880"/>
          </w:tcPr>
          <w:p>
            <w:r>
              <w:t>hormesis</w:t>
            </w:r>
          </w:p>
        </w:tc>
        <w:tc>
          <w:tcPr>
            <w:tcW w:type="dxa" w:w="2880"/>
          </w:tcPr>
          <w:p>
            <w:r>
              <w:t>réponse biphasique ; stimulation par faible dose de stress ; Effet hormétique.</w:t>
            </w:r>
          </w:p>
        </w:tc>
      </w:tr>
      <w:tr>
        <w:tc>
          <w:tcPr>
            <w:tcW w:type="dxa" w:w="2880"/>
          </w:tcPr>
          <w:p>
            <w:r>
              <w:t>inhibition du quorum</w:t>
            </w:r>
          </w:p>
        </w:tc>
        <w:tc>
          <w:tcPr>
            <w:tcW w:type="dxa" w:w="2880"/>
          </w:tcPr>
          <w:p>
            <w:r>
              <w:t>quorum quenching</w:t>
            </w:r>
          </w:p>
        </w:tc>
        <w:tc>
          <w:tcPr>
            <w:tcW w:type="dxa" w:w="2880"/>
          </w:tcPr>
          <w:p>
            <w:r>
              <w:t>quorum quenching ; brouillage du signal ; Quorum quenching.</w:t>
            </w:r>
          </w:p>
        </w:tc>
      </w:tr>
      <w:tr>
        <w:tc>
          <w:tcPr>
            <w:tcW w:type="dxa" w:w="2880"/>
          </w:tcPr>
          <w:p>
            <w:r>
              <w:t>mixotrophie racinaire</w:t>
            </w:r>
          </w:p>
        </w:tc>
        <w:tc>
          <w:tcPr>
            <w:tcW w:type="dxa" w:w="2880"/>
          </w:tcPr>
          <w:p>
            <w:r>
              <w:t>root mixotrophy</w:t>
            </w:r>
          </w:p>
        </w:tc>
        <w:tc>
          <w:tcPr>
            <w:tcW w:type="dxa" w:w="2880"/>
          </w:tcPr>
          <w:p>
            <w:r>
              <w:t>Nutrition mixotrophe.</w:t>
            </w:r>
          </w:p>
        </w:tc>
      </w:tr>
      <w:tr>
        <w:tc>
          <w:tcPr>
            <w:tcW w:type="dxa" w:w="2880"/>
          </w:tcPr>
          <w:p>
            <w:r>
              <w:t>modèle de langage protéique</w:t>
            </w:r>
          </w:p>
        </w:tc>
        <w:tc>
          <w:tcPr>
            <w:tcW w:type="dxa" w:w="2880"/>
          </w:tcPr>
          <w:p>
            <w:r>
              <w:t>protein language model (pLM)</w:t>
            </w:r>
          </w:p>
        </w:tc>
        <w:tc>
          <w:tcPr>
            <w:tcW w:type="dxa" w:w="2880"/>
          </w:tcPr>
          <w:p>
            <w:r/>
          </w:p>
        </w:tc>
      </w:tr>
      <w:tr>
        <w:tc>
          <w:tcPr>
            <w:tcW w:type="dxa" w:w="2880"/>
          </w:tcPr>
          <w:p>
            <w:r>
              <w:t>mémoire thermique</w:t>
            </w:r>
          </w:p>
        </w:tc>
        <w:tc>
          <w:tcPr>
            <w:tcW w:type="dxa" w:w="2880"/>
          </w:tcPr>
          <w:p>
            <w:r>
              <w:t>thermal memory</w:t>
            </w:r>
          </w:p>
        </w:tc>
        <w:tc>
          <w:tcPr>
            <w:tcW w:type="dxa" w:w="2880"/>
          </w:tcPr>
          <w:p>
            <w:r>
              <w:t>Thermotolérance acquise.</w:t>
            </w:r>
          </w:p>
        </w:tc>
      </w:tr>
      <w:tr>
        <w:tc>
          <w:tcPr>
            <w:tcW w:type="dxa" w:w="2880"/>
          </w:tcPr>
          <w:p>
            <w:r>
              <w:t>mémoire végétale</w:t>
            </w:r>
          </w:p>
        </w:tc>
        <w:tc>
          <w:tcPr>
            <w:tcW w:type="dxa" w:w="2880"/>
          </w:tcPr>
          <w:p>
            <w:r>
              <w:t>plant memory / priming</w:t>
            </w:r>
          </w:p>
        </w:tc>
        <w:tc>
          <w:tcPr>
            <w:tcW w:type="dxa" w:w="2880"/>
          </w:tcPr>
          <w:p>
            <w:r/>
          </w:p>
        </w:tc>
      </w:tr>
      <w:tr>
        <w:tc>
          <w:tcPr>
            <w:tcW w:type="dxa" w:w="2880"/>
          </w:tcPr>
          <w:p>
            <w:r>
              <w:t>nitroplaste</w:t>
            </w:r>
          </w:p>
        </w:tc>
        <w:tc>
          <w:tcPr>
            <w:tcW w:type="dxa" w:w="2880"/>
          </w:tcPr>
          <w:p>
            <w:r>
              <w:t>nitroplast</w:t>
            </w:r>
          </w:p>
        </w:tc>
        <w:tc>
          <w:tcPr>
            <w:tcW w:type="dxa" w:w="2880"/>
          </w:tcPr>
          <w:p>
            <w:r/>
          </w:p>
        </w:tc>
      </w:tr>
      <w:tr>
        <w:tc>
          <w:tcPr>
            <w:tcW w:type="dxa" w:w="2880"/>
          </w:tcPr>
          <w:p>
            <w:r>
              <w:t>nutriments mobiles et immobiles</w:t>
            </w:r>
          </w:p>
        </w:tc>
        <w:tc>
          <w:tcPr>
            <w:tcW w:type="dxa" w:w="2880"/>
          </w:tcPr>
          <w:p>
            <w:r>
              <w:t>mobile and immobile nutrients</w:t>
            </w:r>
          </w:p>
        </w:tc>
        <w:tc>
          <w:tcPr>
            <w:tcW w:type="dxa" w:w="2880"/>
          </w:tcPr>
          <w:p>
            <w:r>
              <w:t>mobilité des nutriments, translocation</w:t>
            </w:r>
          </w:p>
        </w:tc>
      </w:tr>
      <w:tr>
        <w:tc>
          <w:tcPr>
            <w:tcW w:type="dxa" w:w="2880"/>
          </w:tcPr>
          <w:p>
            <w:r>
              <w:t>nécrose foliaire</w:t>
            </w:r>
          </w:p>
        </w:tc>
        <w:tc>
          <w:tcPr>
            <w:tcW w:type="dxa" w:w="2880"/>
          </w:tcPr>
          <w:p>
            <w:r>
              <w:t>leaf necrosis</w:t>
            </w:r>
          </w:p>
        </w:tc>
        <w:tc>
          <w:tcPr>
            <w:tcW w:type="dxa" w:w="2880"/>
          </w:tcPr>
          <w:p>
            <w:r>
              <w:t>nécrose marginale, nécrose apicale, tip burn, blossom end rot</w:t>
            </w:r>
          </w:p>
        </w:tc>
      </w:tr>
      <w:tr>
        <w:tc>
          <w:tcPr>
            <w:tcW w:type="dxa" w:w="2880"/>
          </w:tcPr>
          <w:p>
            <w:r>
              <w:t>nœud d'autorégulation</w:t>
            </w:r>
          </w:p>
        </w:tc>
        <w:tc>
          <w:tcPr>
            <w:tcW w:type="dxa" w:w="2880"/>
          </w:tcPr>
          <w:p>
            <w:r>
              <w:t>autoregulation node</w:t>
            </w:r>
          </w:p>
        </w:tc>
        <w:tc>
          <w:tcPr>
            <w:tcW w:type="dxa" w:w="2880"/>
          </w:tcPr>
          <w:p>
            <w:r/>
          </w:p>
        </w:tc>
      </w:tr>
      <w:tr>
        <w:tc>
          <w:tcPr>
            <w:tcW w:type="dxa" w:w="2880"/>
          </w:tcPr>
          <w:p>
            <w:r>
              <w:t>organellogenèse</w:t>
            </w:r>
          </w:p>
        </w:tc>
        <w:tc>
          <w:tcPr>
            <w:tcW w:type="dxa" w:w="2880"/>
          </w:tcPr>
          <w:p>
            <w:r>
              <w:t>organellogenesis</w:t>
            </w:r>
          </w:p>
        </w:tc>
        <w:tc>
          <w:tcPr>
            <w:tcW w:type="dxa" w:w="2880"/>
          </w:tcPr>
          <w:p>
            <w:r/>
          </w:p>
        </w:tc>
      </w:tr>
      <w:tr>
        <w:tc>
          <w:tcPr>
            <w:tcW w:type="dxa" w:w="2880"/>
          </w:tcPr>
          <w:p>
            <w:r>
              <w:t>pH sève foliaire</w:t>
            </w:r>
          </w:p>
        </w:tc>
        <w:tc>
          <w:tcPr>
            <w:tcW w:type="dxa" w:w="2880"/>
          </w:tcPr>
          <w:p>
            <w:r>
              <w:t>leaf sap pH</w:t>
            </w:r>
          </w:p>
        </w:tc>
        <w:tc>
          <w:tcPr>
            <w:tcW w:type="dxa" w:w="2880"/>
          </w:tcPr>
          <w:p>
            <w:r/>
          </w:p>
        </w:tc>
      </w:tr>
      <w:tr>
        <w:tc>
          <w:tcPr>
            <w:tcW w:type="dxa" w:w="2880"/>
          </w:tcPr>
          <w:p>
            <w:r>
              <w:t>petit ARN non codant</w:t>
            </w:r>
          </w:p>
        </w:tc>
        <w:tc>
          <w:tcPr>
            <w:tcW w:type="dxa" w:w="2880"/>
          </w:tcPr>
          <w:p>
            <w:r>
              <w:t>small non-coding RNA (sncRNA)</w:t>
            </w:r>
          </w:p>
        </w:tc>
        <w:tc>
          <w:tcPr>
            <w:tcW w:type="dxa" w:w="2880"/>
          </w:tcPr>
          <w:p>
            <w:r/>
          </w:p>
        </w:tc>
      </w:tr>
      <w:tr>
        <w:tc>
          <w:tcPr>
            <w:tcW w:type="dxa" w:w="2880"/>
          </w:tcPr>
          <w:p>
            <w:r>
              <w:t>phyllosphère</w:t>
            </w:r>
          </w:p>
        </w:tc>
        <w:tc>
          <w:tcPr>
            <w:tcW w:type="dxa" w:w="2880"/>
          </w:tcPr>
          <w:p>
            <w:r>
              <w:t>phyllosphere</w:t>
            </w:r>
          </w:p>
        </w:tc>
        <w:tc>
          <w:tcPr>
            <w:tcW w:type="dxa" w:w="2880"/>
          </w:tcPr>
          <w:p>
            <w:r>
              <w:t>Milieu épiphytique aérien.</w:t>
            </w:r>
          </w:p>
        </w:tc>
      </w:tr>
      <w:tr>
        <w:tc>
          <w:tcPr>
            <w:tcW w:type="dxa" w:w="2880"/>
          </w:tcPr>
          <w:p>
            <w:r>
              <w:t>phyto-élicitation par le sol</w:t>
            </w:r>
          </w:p>
        </w:tc>
        <w:tc>
          <w:tcPr>
            <w:tcW w:type="dxa" w:w="2880"/>
          </w:tcPr>
          <w:p>
            <w:r>
              <w:t>soil-induced phyto-elicitation</w:t>
            </w:r>
          </w:p>
        </w:tc>
        <w:tc>
          <w:tcPr>
            <w:tcW w:type="dxa" w:w="2880"/>
          </w:tcPr>
          <w:p>
            <w:r>
              <w:t>bio-fortification par élicitation ; induction de métabolites par les microbes du sol ; élicitation édaphique ; élicitation tellurique</w:t>
            </w:r>
          </w:p>
        </w:tc>
      </w:tr>
      <w:tr>
        <w:tc>
          <w:tcPr>
            <w:tcW w:type="dxa" w:w="2880"/>
          </w:tcPr>
          <w:p>
            <w:r>
              <w:t>phytoalexines</w:t>
            </w:r>
          </w:p>
        </w:tc>
        <w:tc>
          <w:tcPr>
            <w:tcW w:type="dxa" w:w="2880"/>
          </w:tcPr>
          <w:p>
            <w:r>
              <w:t>phytoalexins</w:t>
            </w:r>
          </w:p>
        </w:tc>
        <w:tc>
          <w:tcPr>
            <w:tcW w:type="dxa" w:w="2880"/>
          </w:tcPr>
          <w:p>
            <w:r>
              <w:t>aucune ; Antibiotiques végétaux.</w:t>
            </w:r>
          </w:p>
        </w:tc>
      </w:tr>
      <w:tr>
        <w:tc>
          <w:tcPr>
            <w:tcW w:type="dxa" w:w="2880"/>
          </w:tcPr>
          <w:p>
            <w:r>
              <w:t>phytochélatines</w:t>
            </w:r>
          </w:p>
        </w:tc>
        <w:tc>
          <w:tcPr>
            <w:tcW w:type="dxa" w:w="2880"/>
          </w:tcPr>
          <w:p>
            <w:r>
              <w:t>phytochelatins</w:t>
            </w:r>
          </w:p>
        </w:tc>
        <w:tc>
          <w:tcPr>
            <w:tcW w:type="dxa" w:w="2880"/>
          </w:tcPr>
          <w:p>
            <w:r/>
          </w:p>
        </w:tc>
      </w:tr>
      <w:tr>
        <w:tc>
          <w:tcPr>
            <w:tcW w:type="dxa" w:w="2880"/>
          </w:tcPr>
          <w:p>
            <w:r>
              <w:t>phytohormones</w:t>
            </w:r>
          </w:p>
        </w:tc>
        <w:tc>
          <w:tcPr>
            <w:tcW w:type="dxa" w:w="2880"/>
          </w:tcPr>
          <w:p>
            <w:r>
              <w:t>phytohormones</w:t>
            </w:r>
          </w:p>
        </w:tc>
        <w:tc>
          <w:tcPr>
            <w:tcW w:type="dxa" w:w="2880"/>
          </w:tcPr>
          <w:p>
            <w:r>
              <w:t>Hormones végétales ; Régulateurs de croissance végétale ; Hormones végétales.</w:t>
            </w:r>
          </w:p>
        </w:tc>
      </w:tr>
      <w:tr>
        <w:tc>
          <w:tcPr>
            <w:tcW w:type="dxa" w:w="2880"/>
          </w:tcPr>
          <w:p>
            <w:r>
              <w:t>point de bascule</w:t>
            </w:r>
          </w:p>
        </w:tc>
        <w:tc>
          <w:tcPr>
            <w:tcW w:type="dxa" w:w="2880"/>
          </w:tcPr>
          <w:p>
            <w:r>
              <w:t>tipping point</w:t>
            </w:r>
          </w:p>
        </w:tc>
        <w:tc>
          <w:tcPr>
            <w:tcW w:type="dxa" w:w="2880"/>
          </w:tcPr>
          <w:p>
            <w:r/>
          </w:p>
        </w:tc>
      </w:tr>
      <w:tr>
        <w:tc>
          <w:tcPr>
            <w:tcW w:type="dxa" w:w="2880"/>
          </w:tcPr>
          <w:p>
            <w:r>
              <w:t>priming immunitaire végétal</w:t>
            </w:r>
          </w:p>
        </w:tc>
        <w:tc>
          <w:tcPr>
            <w:tcW w:type="dxa" w:w="2880"/>
          </w:tcPr>
          <w:p>
            <w:r>
              <w:t>plant immune priming</w:t>
            </w:r>
          </w:p>
        </w:tc>
        <w:tc>
          <w:tcPr>
            <w:tcW w:type="dxa" w:w="2880"/>
          </w:tcPr>
          <w:p>
            <w:r/>
          </w:p>
        </w:tc>
      </w:tr>
      <w:tr>
        <w:tc>
          <w:tcPr>
            <w:tcW w:type="dxa" w:w="2880"/>
          </w:tcPr>
          <w:p>
            <w:r>
              <w:t>priming transgénérationnel</w:t>
            </w:r>
          </w:p>
        </w:tc>
        <w:tc>
          <w:tcPr>
            <w:tcW w:type="dxa" w:w="2880"/>
          </w:tcPr>
          <w:p>
            <w:r>
              <w:t>transgenerational priming</w:t>
            </w:r>
          </w:p>
        </w:tc>
        <w:tc>
          <w:tcPr>
            <w:tcW w:type="dxa" w:w="2880"/>
          </w:tcPr>
          <w:p>
            <w:r/>
          </w:p>
        </w:tc>
      </w:tr>
      <w:tr>
        <w:tc>
          <w:tcPr>
            <w:tcW w:type="dxa" w:w="2880"/>
          </w:tcPr>
          <w:p>
            <w:r>
              <w:t>recrutement sélectif</w:t>
            </w:r>
          </w:p>
        </w:tc>
        <w:tc>
          <w:tcPr>
            <w:tcW w:type="dxa" w:w="2880"/>
          </w:tcPr>
          <w:p>
            <w:r>
              <w:t>selective microbiome recruitment</w:t>
            </w:r>
          </w:p>
        </w:tc>
        <w:tc>
          <w:tcPr>
            <w:tcW w:type="dxa" w:w="2880"/>
          </w:tcPr>
          <w:p>
            <w:r>
              <w:t>sélection active du microbiote ; effet de niche racinaire sélectif ; Sélection rhizosphérique.</w:t>
            </w:r>
          </w:p>
        </w:tc>
      </w:tr>
      <w:tr>
        <w:tc>
          <w:tcPr>
            <w:tcW w:type="dxa" w:w="2880"/>
          </w:tcPr>
          <w:p>
            <w:r>
              <w:t>renouvellement racinaire</w:t>
            </w:r>
          </w:p>
        </w:tc>
        <w:tc>
          <w:tcPr>
            <w:tcW w:type="dxa" w:w="2880"/>
          </w:tcPr>
          <w:p>
            <w:r>
              <w:t>root turnover</w:t>
            </w:r>
          </w:p>
        </w:tc>
        <w:tc>
          <w:tcPr>
            <w:tcW w:type="dxa" w:w="2880"/>
          </w:tcPr>
          <w:p>
            <w:r>
              <w:t>turnover racinaire ; mortalité racinaire</w:t>
            </w:r>
          </w:p>
        </w:tc>
      </w:tr>
      <w:tr>
        <w:tc>
          <w:tcPr>
            <w:tcW w:type="dxa" w:w="2880"/>
          </w:tcPr>
          <w:p>
            <w:r>
              <w:t>reprogrammation plasmidique par la plante</w:t>
            </w:r>
          </w:p>
        </w:tc>
        <w:tc>
          <w:tcPr>
            <w:tcW w:type="dxa" w:w="2880"/>
          </w:tcPr>
          <w:p>
            <w:r>
              <w:t>plant-driven plasmid reprogramming</w:t>
            </w:r>
          </w:p>
        </w:tc>
        <w:tc>
          <w:tcPr>
            <w:tcW w:type="dxa" w:w="2880"/>
          </w:tcPr>
          <w:p>
            <w:r>
              <w:t>régulation du métatranscriptome plasmidique ; Induction génétique rhizosphérique.</w:t>
            </w:r>
          </w:p>
        </w:tc>
      </w:tr>
      <w:tr>
        <w:tc>
          <w:tcPr>
            <w:tcW w:type="dxa" w:w="2880"/>
          </w:tcPr>
          <w:p>
            <w:r>
              <w:t>reprogrammation épigénétique</w:t>
            </w:r>
          </w:p>
        </w:tc>
        <w:tc>
          <w:tcPr>
            <w:tcW w:type="dxa" w:w="2880"/>
          </w:tcPr>
          <w:p>
            <w:r>
              <w:t>epigenetic reprogramming</w:t>
            </w:r>
          </w:p>
        </w:tc>
        <w:tc>
          <w:tcPr>
            <w:tcW w:type="dxa" w:w="2880"/>
          </w:tcPr>
          <w:p>
            <w:r>
              <w:t>Régulation épigénétique.</w:t>
            </w:r>
          </w:p>
        </w:tc>
      </w:tr>
      <w:tr>
        <w:tc>
          <w:tcPr>
            <w:tcW w:type="dxa" w:w="2880"/>
          </w:tcPr>
          <w:p>
            <w:r>
              <w:t>rhizosphère</w:t>
            </w:r>
          </w:p>
        </w:tc>
        <w:tc>
          <w:tcPr>
            <w:tcW w:type="dxa" w:w="2880"/>
          </w:tcPr>
          <w:p>
            <w:r>
              <w:t>rhizosphere</w:t>
            </w:r>
          </w:p>
        </w:tc>
        <w:tc>
          <w:tcPr>
            <w:tcW w:type="dxa" w:w="2880"/>
          </w:tcPr>
          <w:p>
            <w:r>
              <w:t>interface sol-racine ; zone rhizosphérique ; sphère racinaire</w:t>
            </w:r>
          </w:p>
        </w:tc>
      </w:tr>
      <w:tr>
        <w:tc>
          <w:tcPr>
            <w:tcW w:type="dxa" w:w="2880"/>
          </w:tcPr>
          <w:p>
            <w:r>
              <w:t>règle de conception coévolutive</w:t>
            </w:r>
          </w:p>
        </w:tc>
        <w:tc>
          <w:tcPr>
            <w:tcW w:type="dxa" w:w="2880"/>
          </w:tcPr>
          <w:p>
            <w:r>
              <w:t>coevolution-informed design rule</w:t>
            </w:r>
          </w:p>
        </w:tc>
        <w:tc>
          <w:tcPr>
            <w:tcW w:type="dxa" w:w="2880"/>
          </w:tcPr>
          <w:p>
            <w:r/>
          </w:p>
        </w:tc>
      </w:tr>
      <w:tr>
        <w:tc>
          <w:tcPr>
            <w:tcW w:type="dxa" w:w="2880"/>
          </w:tcPr>
          <w:p>
            <w:r>
              <w:t>résistosome</w:t>
            </w:r>
          </w:p>
        </w:tc>
        <w:tc>
          <w:tcPr>
            <w:tcW w:type="dxa" w:w="2880"/>
          </w:tcPr>
          <w:p>
            <w:r>
              <w:t>resistosome</w:t>
            </w:r>
          </w:p>
        </w:tc>
        <w:tc>
          <w:tcPr>
            <w:tcW w:type="dxa" w:w="2880"/>
          </w:tcPr>
          <w:p>
            <w:r/>
          </w:p>
        </w:tc>
      </w:tr>
      <w:tr>
        <w:tc>
          <w:tcPr>
            <w:tcW w:type="dxa" w:w="2880"/>
          </w:tcPr>
          <w:p>
            <w:r>
              <w:t>saut d'hôte</w:t>
            </w:r>
          </w:p>
        </w:tc>
        <w:tc>
          <w:tcPr>
            <w:tcW w:type="dxa" w:w="2880"/>
          </w:tcPr>
          <w:p>
            <w:r>
              <w:t>host jump</w:t>
            </w:r>
          </w:p>
        </w:tc>
        <w:tc>
          <w:tcPr>
            <w:tcW w:type="dxa" w:w="2880"/>
          </w:tcPr>
          <w:p>
            <w:r/>
          </w:p>
        </w:tc>
      </w:tr>
      <w:tr>
        <w:tc>
          <w:tcPr>
            <w:tcW w:type="dxa" w:w="2880"/>
          </w:tcPr>
          <w:p>
            <w:r>
              <w:t>signalisation chimique</w:t>
            </w:r>
          </w:p>
        </w:tc>
        <w:tc>
          <w:tcPr>
            <w:tcW w:type="dxa" w:w="2880"/>
          </w:tcPr>
          <w:p>
            <w:r>
              <w:t>chemical signaling</w:t>
            </w:r>
          </w:p>
        </w:tc>
        <w:tc>
          <w:tcPr>
            <w:tcW w:type="dxa" w:w="2880"/>
          </w:tcPr>
          <w:p>
            <w:r>
              <w:t>médiation chimique ; dialogue moléculaire ; communication inter-organismes ; Communication biochimique.</w:t>
            </w:r>
          </w:p>
        </w:tc>
      </w:tr>
      <w:tr>
        <w:tc>
          <w:tcPr>
            <w:tcW w:type="dxa" w:w="2880"/>
          </w:tcPr>
          <w:p>
            <w:r>
              <w:t>silicium (Si) — biostimulant</w:t>
            </w:r>
          </w:p>
        </w:tc>
        <w:tc>
          <w:tcPr>
            <w:tcW w:type="dxa" w:w="2880"/>
          </w:tcPr>
          <w:p>
            <w:r>
              <w:t>silicon (Si) — biostimulant</w:t>
            </w:r>
          </w:p>
        </w:tc>
        <w:tc>
          <w:tcPr>
            <w:tcW w:type="dxa" w:w="2880"/>
          </w:tcPr>
          <w:p>
            <w:r>
              <w:t>Si, silice, acide silicique, phytolithes</w:t>
            </w:r>
          </w:p>
        </w:tc>
      </w:tr>
      <w:tr>
        <w:tc>
          <w:tcPr>
            <w:tcW w:type="dxa" w:w="2880"/>
          </w:tcPr>
          <w:p>
            <w:r>
              <w:t>strigolactones</w:t>
            </w:r>
          </w:p>
        </w:tc>
        <w:tc>
          <w:tcPr>
            <w:tcW w:type="dxa" w:w="2880"/>
          </w:tcPr>
          <w:p>
            <w:r>
              <w:t>strigolactones</w:t>
            </w:r>
          </w:p>
        </w:tc>
        <w:tc>
          <w:tcPr>
            <w:tcW w:type="dxa" w:w="2880"/>
          </w:tcPr>
          <w:p>
            <w:r/>
          </w:p>
        </w:tc>
      </w:tr>
      <w:tr>
        <w:tc>
          <w:tcPr>
            <w:tcW w:type="dxa" w:w="2880"/>
          </w:tcPr>
          <w:p>
            <w:r>
              <w:t>sélection variétale</w:t>
            </w:r>
          </w:p>
        </w:tc>
        <w:tc>
          <w:tcPr>
            <w:tcW w:type="dxa" w:w="2880"/>
          </w:tcPr>
          <w:p>
            <w:r>
              <w:t>cultivar selection</w:t>
            </w:r>
          </w:p>
        </w:tc>
        <w:tc>
          <w:tcPr>
            <w:tcW w:type="dxa" w:w="2880"/>
          </w:tcPr>
          <w:p>
            <w:r>
              <w:t>amélioration des cultivars ; sélection génétique végétale ; Amélioration des plantes ; Création variétale.</w:t>
            </w:r>
          </w:p>
        </w:tc>
      </w:tr>
      <w:tr>
        <w:tc>
          <w:tcPr>
            <w:tcW w:type="dxa" w:w="2880"/>
          </w:tcPr>
          <w:p>
            <w:r>
              <w:t>thermotolérance</w:t>
            </w:r>
          </w:p>
        </w:tc>
        <w:tc>
          <w:tcPr>
            <w:tcW w:type="dxa" w:w="2880"/>
          </w:tcPr>
          <w:p>
            <w:r>
              <w:t>thermotolerance</w:t>
            </w:r>
          </w:p>
        </w:tc>
        <w:tc>
          <w:tcPr>
            <w:tcW w:type="dxa" w:w="2880"/>
          </w:tcPr>
          <w:p>
            <w:r>
              <w:t>Résistance à la chaleur.</w:t>
            </w:r>
          </w:p>
        </w:tc>
      </w:tr>
      <w:tr>
        <w:tc>
          <w:tcPr>
            <w:tcW w:type="dxa" w:w="2880"/>
          </w:tcPr>
          <w:p>
            <w:r>
              <w:t>traits d'assemblage du microbiome</w:t>
            </w:r>
          </w:p>
        </w:tc>
        <w:tc>
          <w:tcPr>
            <w:tcW w:type="dxa" w:w="2880"/>
          </w:tcPr>
          <w:p>
            <w:r>
              <w:t>microbiome-assembly traits</w:t>
            </w:r>
          </w:p>
        </w:tc>
        <w:tc>
          <w:tcPr>
            <w:tcW w:type="dxa" w:w="2880"/>
          </w:tcPr>
          <w:p>
            <w:r/>
          </w:p>
        </w:tc>
      </w:tr>
      <w:tr>
        <w:tc>
          <w:tcPr>
            <w:tcW w:type="dxa" w:w="2880"/>
          </w:tcPr>
          <w:p>
            <w:r>
              <w:t>transition de style de vie microbien</w:t>
            </w:r>
          </w:p>
        </w:tc>
        <w:tc>
          <w:tcPr>
            <w:tcW w:type="dxa" w:w="2880"/>
          </w:tcPr>
          <w:p>
            <w:r>
              <w:t>microbial lifestyle transition</w:t>
            </w:r>
          </w:p>
        </w:tc>
        <w:tc>
          <w:tcPr>
            <w:tcW w:type="dxa" w:w="2880"/>
          </w:tcPr>
          <w:p>
            <w:r/>
          </w:p>
        </w:tc>
      </w:tr>
      <w:tr>
        <w:tc>
          <w:tcPr>
            <w:tcW w:type="dxa" w:w="2880"/>
          </w:tcPr>
          <w:p>
            <w:r>
              <w:t>volatils microbiens</w:t>
            </w:r>
          </w:p>
        </w:tc>
        <w:tc>
          <w:tcPr>
            <w:tcW w:type="dxa" w:w="2880"/>
          </w:tcPr>
          <w:p>
            <w:r>
              <w:t>microbial volatile organic compounds (mVOC)</w:t>
            </w:r>
          </w:p>
        </w:tc>
        <w:tc>
          <w:tcPr>
            <w:tcW w:type="dxa" w:w="2880"/>
          </w:tcPr>
          <w:p>
            <w:r>
              <w:t>composés organiques volatils microbiens ; COVm</w:t>
            </w:r>
          </w:p>
        </w:tc>
      </w:tr>
      <w:tr>
        <w:tc>
          <w:tcPr>
            <w:tcW w:type="dxa" w:w="2880"/>
          </w:tcPr>
          <w:p>
            <w:r>
              <w:t>vésicule extracellulaire</w:t>
            </w:r>
          </w:p>
        </w:tc>
        <w:tc>
          <w:tcPr>
            <w:tcW w:type="dxa" w:w="2880"/>
          </w:tcPr>
          <w:p>
            <w:r>
              <w:t>extracellular vesicle (EV)</w:t>
            </w:r>
          </w:p>
        </w:tc>
        <w:tc>
          <w:tcPr>
            <w:tcW w:type="dxa" w:w="2880"/>
          </w:tcPr>
          <w:p>
            <w:r/>
          </w:p>
        </w:tc>
      </w:tr>
      <w:tr>
        <w:tc>
          <w:tcPr>
            <w:tcW w:type="dxa" w:w="2880"/>
          </w:tcPr>
          <w:p>
            <w:r>
              <w:t>élicitation par débris microbiens</w:t>
            </w:r>
          </w:p>
        </w:tc>
        <w:tc>
          <w:tcPr>
            <w:tcW w:type="dxa" w:w="2880"/>
          </w:tcPr>
          <w:p>
            <w:r>
              <w:t>MAMP-triggered immunity (MTI)</w:t>
            </w:r>
          </w:p>
        </w:tc>
        <w:tc>
          <w:tcPr>
            <w:tcW w:type="dxa" w:w="2880"/>
          </w:tcPr>
          <w:p>
            <w:r>
              <w:t>immunité par MAMPs ; élicitation par les MAMP ; immunité déclenchée par les microbes</w:t>
            </w:r>
          </w:p>
        </w:tc>
      </w:tr>
      <w:tr>
        <w:tc>
          <w:tcPr>
            <w:tcW w:type="dxa" w:w="2880"/>
          </w:tcPr>
          <w:p>
            <w:r>
              <w:t>éthylène</w:t>
            </w:r>
          </w:p>
        </w:tc>
        <w:tc>
          <w:tcPr>
            <w:tcW w:type="dxa" w:w="2880"/>
          </w:tcPr>
          <w:p>
            <w:r>
              <w:t>ethylene</w:t>
            </w:r>
          </w:p>
        </w:tc>
        <w:tc>
          <w:tcPr>
            <w:tcW w:type="dxa" w:w="2880"/>
          </w:tcPr>
          <w:p>
            <w:r>
              <w:t>hormone de maturation ; gaz de stress ; C2H4 ; Gaz de maturation.</w:t>
            </w:r>
          </w:p>
        </w:tc>
      </w:tr>
      <w:tr>
        <w:tc>
          <w:tcPr>
            <w:tcW w:type="dxa" w:w="2880"/>
          </w:tcPr>
          <w:p>
            <w:r>
              <w:t>évolution convergente</w:t>
            </w:r>
          </w:p>
        </w:tc>
        <w:tc>
          <w:tcPr>
            <w:tcW w:type="dxa" w:w="2880"/>
          </w:tcPr>
          <w:p>
            <w:r>
              <w:t>convergent evolution (PM)</w:t>
            </w:r>
          </w:p>
        </w:tc>
        <w:tc>
          <w:tcPr>
            <w:tcW w:type="dxa" w:w="2880"/>
          </w:tcPr>
          <w:p>
            <w:r/>
          </w:p>
        </w:tc>
      </w:tr>
      <w:tr>
        <w:tc>
          <w:tcPr>
            <w:tcW w:type="dxa" w:w="2880"/>
          </w:tcPr>
          <w:p>
            <w:r>
              <w:t>évolution réductive</w:t>
            </w:r>
          </w:p>
        </w:tc>
        <w:tc>
          <w:tcPr>
            <w:tcW w:type="dxa" w:w="2880"/>
          </w:tcPr>
          <w:p>
            <w:r>
              <w:t>reductive evolution</w:t>
            </w:r>
          </w:p>
        </w:tc>
        <w:tc>
          <w:tcPr>
            <w:tcW w:type="dxa" w:w="2880"/>
          </w:tcPr>
          <w:p>
            <w:r/>
          </w:p>
        </w:tc>
      </w:tr>
    </w:tbl>
    <w:p/>
    <w:p>
      <w:pPr>
        <w:jc w:val="center"/>
      </w:pPr>
      <w:r>
        <w:rPr>
          <w:color w:val="999999"/>
          <w:sz w:val="18"/>
        </w:rPr>
        <w:t>────────────────────────────────────────</w:t>
      </w:r>
    </w:p>
    <w:p>
      <w:pPr>
        <w:pStyle w:val="Heading1"/>
      </w:pPr>
      <w:r>
        <w:t>Introduction</w:t>
      </w:r>
    </w:p>
    <w:p>
      <w:r>
        <w:t>La plante n'est pas un individu — c'est un holobionte. Son microbiome endophytique est partie intégrante de son immunité.</w:t>
      </w:r>
    </w:p>
    <w:p/>
    <w:p>
      <w:r>
        <w:t>→ Reprogrammation plasmidique : la plante ne fait pas que manger les bactéries (rhizophagie) — elle REPROGRAMME leurs plasmides pour commander la production de métabolites spécifiques. Les bactéries rejetées sont modifiées. Réponse bactérienne en 20 min vs heures pour la plante.</w:t>
        <w:br/>
        <w:t>→ « Nous cultivons des holobiontes, pas des plantes. Vous mangez un légume de sol vivant, vous mangez plus de cellules microbiennes que de cellules végétales » (conférence Eh/pH).</w:t>
        <w:br/>
        <w:t>→ Les endophytes SONT la chaîne sol-plante-humain. Sans endophytes = perte système immunitaire + croissance + biomasse.</w:t>
      </w:r>
    </w:p>
    <w:p>
      <w:r>
        <w:t>Interaction plante-microbiome : La sélection métabolique</w:t>
        <w:br/>
        <w:t>La plante exerce une sélection active dans la rhizosphère(Barajas et al., 2020).</w:t>
        <w:br/>
        <w:t>La boucle microbienne : La microfaune (nématodes et protozoaires) régule les populations bactériennes par prédation. Ce mécanisme, appelé "boucle microbienne", est essentiel pour libérer les nutriments (azote, phosphore) immobilisés dans la biomasse microbienne, les rendant ainsi assimilables par la plante (Derrien et al., 2016; Plassard, 2015).</w:t>
        <w:br/>
        <w:t>Détermination du terroir : Les interactions dans la rhizosphère influencent le métabolisme de la plante et la production de composés aromatiques ou de précurseurs chimiques. Ce "terroir microbien" se prolonge jusque dans les produits récoltés, conditionnant leur aptitude à la transformation (Johnston‐Monje et al.</w:t>
      </w:r>
    </w:p>
    <w:p>
      <w:r>
        <w:t>§1 Introduction: Cette fiche est une revue critique de la thèse selon laquelle le microbiome du sol vivant amplifie la thermotolérance des plantes cultivées. Elle examine 7 mécanismes avec niveaux de preuve, référence</w:t>
        <w:br/>
        <w:t>§2 Tolérance systémique induite par les PGPR: ACC déaminase, biofilms EPS, osmolytes, épigénétique. Niveau de preuve : FORT.</w:t>
        <w:br/>
        <w:t>§3 Microbiome et thermotolérance foliaire: Hernandes Villani et al., soja. Niveau de preuve : FORT.</w:t>
        <w:br/>
        <w:t>§4 Remontée hydraulique et réseaux mycorhiziens: Accès micropores, transport deutéré. Niveau de preuve : MODÉRÉ à FORT.</w:t>
        <w:br/>
        <w:t>§5 Fenêtre thermique et chauffage racinaire: Sol tampon thermique, priming thermique + micro-organismes. Niveaux de preuve : MODÉRÉ à FORT.</w:t>
      </w:r>
    </w:p>
    <w:p>
      <w:r>
        <w:t>## Introduction</w:t>
        <w:br/>
        <w:t>Les champignons entomopathogènes, tels que Beauveria bassiana et Metarhizium anisopliae, sont traditionnellement reconnus pour leur capacité à parasiter et à éliminer une large gamme d'insectes ravageurs (Vivekanandhan et al., 2024) Cependant, les recherches récentes marquent un changement de paradigme : ces micro-organismes ne sont plus perçus uniquement comme des "tueurs d'insectes", mais comme des acteurs écologiques polyvalents occupant des fonctions trophiques multiples dans l'écosystème du sol (Liu et al., 2025)</w:t>
      </w:r>
    </w:p>
    <w:p>
      <w:r>
        <w:t>#### Le sol : un réservoir et un sanctuaire</w:t>
        <w:br/>
        <w:t>Le sol constitue le principal réservoir naturel des CEP, leur offrant un environnement protecteur contre les radiations UV et les fluctuations climatiques extrêmes (Vega et al., 2009) Dans cet habitat, ils persistent sous forme de propagules (conidies) (Lacey et al., 2015) et interagissent activement avec la rhizosphère (Mwamburi, 2021) La diversité des CEP telluriques est telle que de nouvelles espèces continuent d'être découvertes, soulignant l'importance du sol comme moteur de leur biodiversité(Liu et al., 2025)</w:t>
      </w:r>
    </w:p>
    <w:p>
      <w:r>
        <w:t>#### Une "double identité" fonctionnelle</w:t>
        <w:br/>
        <w:t>L'une des découvertes majeures de ces dernières années réside dans la capacité des CEP à établir des relations symbiotiques avec les plantes. En tant qu'endophytes, ils colonisent les tissus internes (racines, tiges, feuilles) sans causer de dommages, offrant ainsi une protection systémique contre les bioagresseurs (Sharma &amp; Sharma, 2021) Au-delà de la protection, ils agissent comme des biostimulants, favorisant la croissance végétale par une meilleure acquisition des nutriments et la production de phytohormones (Ahsan et al., 2024)</w:t>
        <w:br/>
        <w:t>Dans le contexte actuel de transition agroécologique, les CEP représentent une alternative durable aux pesticides chimiques (Yadav et al., 2025) Leur intégration dans les systèmes de culture permet non seulement de réguler les populations de ravageurs, mais aussi d'améliorer la santé globale du sol en favorisant la diversité microbienne (Vivekanandhan et al., 2024) Malgré des défis liés à leur sensibilité environnementale (température, humidité), les avancées en biotechnologie, notamment les formulations innovantes comme la microencapsulation, ouvrent la voie à une utilisation plus fiable et efficace en plein champ (Yadav et al., 2025)</w:t>
      </w:r>
    </w:p>
    <w:p>
      <w:r>
        <w:t>## 1. Taxonomie et écologie dans le sol</w:t>
        <w:br/>
        <w:t>Le sol n'est pas seulement un support physique pour les CEP, c'est un écosystème complexe où leur survie et leur efficacité dépendent d'une taxonomie précise et d'interactions environnementales fines.</w:t>
      </w:r>
    </w:p>
    <w:p>
      <w:r>
        <w:t>#### 1.1. Diversité taxonomique et "diversité cachée"</w:t>
        <w:br/>
        <w:t>La classification des CEP a radicalement évolué grâce aux outils de biologie moléculaire. Appartenant majoritairement à l'ordre des Hypocreales, les genres les plus étudiés sont Beauveria (famille des Cordycipitaceae) et Metarhizium (famille des Clavicipitaceae)(Branine et al., 2019)</w:t>
        <w:br/>
        <w:t>L'évolution des méthodes d'identification : Alors que l'identification reposait autrefois sur la morphologie ou le seul gène ITS, les recherches de 2023-2024 privilégient désormais la phylogénie multilocus (utilisant des gènes comme tef1a, rpb1, rpb2 et bloc) (Kutalmış et al., 2023; Rizal et al., 2023)</w:t>
        <w:br/>
        <w:t>Découverte d'espèces cryptiques : L'utilisation du séquençage du génome complet et de l'analyse des SNP a révélé une "diversité cachée" au sein des complexes d'espèces comme Beauveria bassiana et Metarhizium anisopliae (Rizal et al., 2023) Ces analyses permettent de distinguer des souches morphologiquement identiques mais génétiquement distinctes, souvent adaptées à des niches écologiques spécifiques (Rizal et al., 2023)</w:t>
        <w:br/>
        <w:t>Expansion constante : De nouvelles espèces continuent d'être isolées directement du sol, comme c'est le cas pour trois nouvelles espèces découvertes récemment en Chine, enrichissant le catalogue des agents potentiels de biocontrôle (Liu et al., 2025)</w:t>
      </w:r>
    </w:p>
    <w:p>
      <w:r>
        <w:t>#### 1.2. Écologie et persistance tellurique</w:t>
        <w:br/>
        <w:t>Le sol agit comme une "banque de propagules" où les conidies (spores) peuvent persister pendant de longues périodes, à l'abri des rayons UV qui sont leur principal facteur de dégradation en surface(Quesada‐Moraga et al., 2023; Sharma &amp; Sharma, 2021)</w:t>
        <w:br/>
        <w:t>Facteurs abiotiques clés :</w:t>
        <w:br/>
        <w:t>Texture et humidité : La persistance est généralement plus élevée dans les sols riches en argile et en matière organique, qui retiennent mieux l'humidité nécessaire à la survie des spores(HALLOUTI et al., 2020; Hallouti et al., 2020)</w:t>
        <w:br/>
        <w:t>Température et pH : Chaque espèce possède un optimum thermique (souvent entre 20°C et 30°C)(Agbessenou et al., 2021; Qayyum et al., 2021) Le pH du sol influence également la germination : des pH extrêmes peuvent inhiber la croissance mycélienne(Hallouti et al., 2020; Wei et al., 2024)</w:t>
        <w:br/>
        <w:t>Distribution spatiale : Contrairement aux idées reçues, les CEP ne sont pas limités aux milieux forestiers ou agricoles. On les trouve dans une grande variété d'habitats, incluant les prairies, les vergers, les zones urbaines et même les parcs suburbains(Gielen et al., 2024) Cette ubiquité souligne leur rôle écologique majeur dans la régulation naturelle des populations d'insectes à l'échelle globale (Wint et al., 2024)</w:t>
        <w:br/>
        <w:t>Stratégies de survie : En l'absence d'hôtes insectes, les CEP peuvent survivre en utilisant la matière organique du sol ou en s'associant aux racines des plantes(Mwamburi, 2021; Sharma &amp; Sharma, 2021) une transition vers leur "double identité" de symbiotes.</w:t>
      </w:r>
    </w:p>
    <w:p>
      <w:r>
        <w:t>## 2. Double identité entomopathogène et endophyte</w:t>
        <w:br/>
        <w:t>La recherche contemporaine a démontré que les CEP possèdent une "double vie" : ils alternent entre une phase pathogène pour les insectes et une phase symbiotique à l'intérieur des tissus végétaux(Branine et al., 2019) Cette capacité à vivre en tant qu'endophytes redéfinit leur rôle écologique et leur potentiel en tant qu'agents de protection biologique intégrée.</w:t>
      </w:r>
    </w:p>
    <w:p>
      <w:r>
        <w:t>#### 2.1. Le concept d'endophytisme chez les CEP</w:t>
        <w:br/>
        <w:t>L'endophytisme se définit par la colonisation des tissus internes d'une plante par un micro-organisme sans provoquer de symptômes de maladie(Hendra et al., 2026)</w:t>
        <w:br/>
        <w:t>Espèces polyvalentes : Beauveria bassiana et Metarhizium anisopliae sont les exemples les plus documentés(Bamisile et al., 2021) Elles sont capables de coloniser une vaste gamme de cultures, incluant le maïs, le blé et le café(Saif et al., 2024) et al., 2022)</w:t>
        <w:br/>
        <w:t>Colonisation systémique : Une fois entrés, Beauveria bassiana peut se déplacer de manière systémique à travers les tissus vasculaires, protégeant ainsi des parties de la plante éloignées du point d'inoculation initial, tandis que Metarhizium anisopliae est souvent localisé aux sites d'inoculation (Gebramariam et al., 2022)</w:t>
      </w:r>
    </w:p>
    <w:p>
      <w:r>
        <w:t>#### 2.2. Mécanismes de pénétration et d'établissement</w:t>
        <w:br/>
        <w:t>Les CEP utilisent des stratégies sophistiquées pour pénétrer la barrière végétale(Bernonville, 2009) souvent similaires à celles utilisées pour infecter la cuticule des insectes(Touré, 2018)</w:t>
        <w:br/>
        <w:t>Voies d'entrée : La colonisation peut se faire par les racines (via le sol), les feuilles (pulvérisation), ou même par le traitement des semences(Francis et al., 2022) Le traitement des semences est de plus en plus privilégié car il assure une présence fongique dès les premiers stades de développement de la plantule(Ayesha et al., 2021)</w:t>
        <w:br/>
        <w:t>Adaptation moléculaire : Le champignon déploie des enzymes (protéases, chitinases) et des métabolites secondaires pour franchir les parois cellulaires végétales tout en modulant les réponses immunitaires de la plante pour éviter d'être rejeté(Jashni et al., 2015)</w:t>
      </w:r>
    </w:p>
    <w:p>
      <w:r>
        <w:t>#### 2.3. Une stratégie de survie évolutive</w:t>
        <w:br/>
        <w:t>L’endophytisme implique un avantage nutritionnel, considéré comme une base adaptative centrale pour ce mode de vie(Lannou et al., 2012) :</w:t>
        <w:br/>
        <w:t>Protection contre l'environnement : À l'intérieur de la plante, les CEP sont totalement protégés des rayons UV nocifs et de la dessiccation, ce qui augmente considérablement leur persistance par rapport aux spores restant à la surface du sol ou des feuilles(Jamunarani et al., 2022)</w:t>
        <w:br/>
        <w:t>Accès aux nutriments : En période de rareté d'hôtes insectes, le champignon bénéficie des hydrates de carbone fournis par la plante, assurant ainsi la pérennité de son inoculum dans l'écosystème(Bamisile et al., 2021)</w:t>
        <w:br/>
        <w:t>Le "garde du corps" interne : En retour, le champignon offre une protection continue contre les ravageurs. Par exemple, des études récentes sur la tomate ont montré que la colonisation endophytique par B. bassiana réduit significativement les populations de chenilles comme Spodoptera frugiperda(Mwamburi, 2021)</w:t>
      </w:r>
    </w:p>
    <w:p>
      <w:r>
        <w:t>## 3. Effets sur la plante hôte</w:t>
        <w:br/>
        <w:t>L'interaction entre les champignons entomopathogènes et la plante hôte dépasse la simple protection contre les insectes. Elle induit des changements physiologiques et biochimiques profonds qui améliorent la vigueur globale de la culture (Ahsan et al., 2024)</w:t>
      </w:r>
    </w:p>
    <w:p>
      <w:r>
        <w:t>#### 3.1. Promotion de la croissance</w:t>
        <w:br/>
        <w:t>L'inoculation de CEP, que ce soit par traitement des semences ou irrigation du sol, entraîne souvent une augmentation mesurable de la biomasse végétale (Liu et al., 2022)</w:t>
        <w:br/>
        <w:t>Indicateurs de croissance : Des études sur le maïs et la tomate ont montré une augmentation significative de la hauteur des tiges ainsi que du poids frais et sec des tissus (Liu et al., 2022; Sani et al., 2023) Pour le maïs, une augmentation de la longueur des racines a également été démontrée(Liu et al., 2022)</w:t>
        <w:br/>
        <w:t>Amélioration racinaire : Des genres comme Metarhizium stimulent particulièrement le développement des racines latérales et des poils absorbants, augmentant ainsi la surface d'échange avec le sol(Oba et al., 2024)</w:t>
      </w:r>
    </w:p>
    <w:p>
      <w:r>
        <w:t>#### 3.2. Acquisition et transfert des nutriments</w:t>
        <w:br/>
        <w:t>Les CEP agissent comme des "ponts" nutritionnels entre le sol et la plante, facilitant l'accès à des ressources autrement peu disponibles(Fite et al., 2023)</w:t>
        <w:br/>
        <w:t>Le cycle de l'azote : Metarhizium est capable de transférer l'azote provenant de la décomposition des insectes directement à la plante hôte, un avantage évolutif majeur en sols pauvres (Bamisile et al., 2021; Samal et al., 2023)</w:t>
        <w:br/>
        <w:t>Solubilisation du phosphore et du fer : De nombreuses souches de B. bassiana produisent des acides organiques et des sidérophores. Ces composés transforment le phosphore insoluble et le fer en formes assimilables par les racines(Bamisile et al., 2021; Sánchez‐Rodríguez et al., 2017)</w:t>
      </w:r>
    </w:p>
    <w:p>
      <w:r>
        <w:t>#### 3.3. Modulation hormonale et signalisation</w:t>
        <w:br/>
        <w:t>L'effet biostimulant des CEP est étroitement lié à leur capacité à synthétiser ou à moduler les hormones de croissance végétales(Bamisile et al., 2021)</w:t>
        <w:br/>
        <w:t>Production de phytohormones : Les CEP produisent des auxines (notamment l'acide indole-3-acétique ou AIA), des cytokinines et des gibberellines(Bamisile et al., 2021) hormones régulent la division cellulaire, la différenciation des tissus et la germination des semences (Bamisile et al., 2021)</w:t>
        <w:br/>
        <w:t>Réponse immunitaire induite : Lors de la colonisation précoce (notamment chez le blé), les CEP provoquent une modulation des gènes liés à l'immunité, déclenchant une résistance systémique induite (González‐Guzmán et al., 2022) Cette "préparation" permet à la plante de réagir plus rapidement et plus vigoureusement aux attaques futures de pathogènes ou de ravageurs(Kumar, 2024)</w:t>
      </w:r>
    </w:p>
    <w:p>
      <w:r>
        <w:t>#### 3.4. Résistance aux stress abiotiques</w:t>
        <w:br/>
        <w:t>Au-delà de la croissance, l'endophytisme renforce la résilience de la plante face aux aléas climatiques(Fite et al., 2023) plantes colonisées par des CEP montrent une meilleure tolérance au stress hydrique (sécheresse), à la salinité et aux températures extrêmes, grâce à une meilleure gestion de l'eau et une protection antioxydante accrue(Dargiri et al., 2024)</w:t>
      </w:r>
    </w:p>
    <w:p>
      <w:r>
        <w:t>## 4. Interactions dans le microbiome du sol</w:t>
        <w:br/>
        <w:t>Le sol est un théâtre d'interactions complexes où les CEP ne se contentent pas de survivre, mais façonnent activement la structure des communautés microbiennes environnantes(Matveev et al., 2025)</w:t>
      </w:r>
    </w:p>
    <w:p>
      <w:r>
        <w:t>#### 4.1. Compétition et survie dans la rhizosphère</w:t>
        <w:br/>
        <w:t>La rhizosphère est la zone de forte activité biologique entourant les racines, où les CEP doivent s'établir face à une concurrence féroce(Amira, 2018; Quesada‐Moraga et al., 2022)</w:t>
        <w:br/>
        <w:t>Compétition pour les ressources : Les CEP rivalisent avec d'autres champignons et bactéries telluriques pour l'accès au carbone et à l'espace. Leur capacité à persister sous forme de conidies ou à coloniser les racines leur donne un avantage stratégique en période de stress nutritionnel(Dzięgielewska &amp; Adamska, 2020)</w:t>
        <w:br/>
        <w:t>Diversité et résilience : Contrairement aux pesticides chimiques qui appauvrissent la vie du sol en réduisant la diversité microbienne, l'application de CEP comme Beauveria ou Metarhizium est plus respectueuse de l'écosystème, favorisant l'augmentation d'organismes bénéfiques et le maintien d'un sol sain(Barelli et al., 2020; Devi et al., 2018)</w:t>
      </w:r>
    </w:p>
    <w:p>
      <w:r>
        <w:t>#### 4.2. Synergies avec les micro-organismes bénéfiques</w:t>
        <w:br/>
        <w:t>Les recherches récentes mettent en lumière des collaborations fructueuses entre les CEP et d'autres alliés de la plante(Liu et al., 2023; Wakil et al., 2020)</w:t>
        <w:br/>
        <w:t>Interaction avec les Mycorhizes : Il existe des preuves de compatibilité entre les CEP et les champignons mycorhiziens à arbuscules. Ensemble, ils peuvent offrir une protection "double couche" : les CMA sont connues pour améliorer l'absorption hydrique et minérale(Guissou et al., 2016) et les CEP protègent contre les ravageurs souterrains et aériens(Samal et al., 2023)</w:t>
        <w:br/>
        <w:t>Coopération avec les PGPR : Les bactéries promotrices de croissance, comme les genres Pseudomonas ou Bacillus, peuvent agir en synergie avec les CEP. Ces bactéries peuvent stimuler la germination des spores fongiques, ou produire des substances comme des antibiotiques ou des siderophores qui éliminent les compétiteurs des CEP, facilitant ainsi leur établissement(Bamisile et al., 2021)</w:t>
      </w:r>
    </w:p>
    <w:p>
      <w:r>
        <w:t>#### 4.3. Antagonisme contre les pathogènes du sol</w:t>
        <w:br/>
        <w:t>Les CEP jouent un rôle de "nettoyeurs" en limitant le développement de certains agents pathogènes phytophages (champignons et bactéries causant des maladies aux plantes)(Sharma &amp; Sharma, 2021)</w:t>
        <w:br/>
        <w:t>Effet fongistatique : Grâce à la production de métabolites secondaires (comme la beauvéricine ou les destruxines), les CEP peuvent inhiber la croissance de pathogènes racinaires responsables de la fonte des semis ou des pourritures racinaires(Bamisile et al., 2021; Soesanto et al., 2021)</w:t>
        <w:br/>
        <w:t>Occupation de niche : En colonisant précocement la zone racinaire, les CEP empêchent physiquement les pathogènes de se fixer, réduisant ainsi l'incidence des maladies telluriques sans recours à des fongicides de synthèse(Miranda‐Fuentes et al., 2020; Rivas-Franco et al., 2020)</w:t>
      </w:r>
    </w:p>
    <w:p>
      <w:r>
        <w:t>#### 4.4. Impact de la gestion agricole sur le microbiome</w:t>
        <w:br/>
        <w:t>L'équilibre des CEP dans le microbiome est sensible aux pratiques culturales(Rochefort, 2020) :</w:t>
        <w:br/>
        <w:t>Apports organiques : L'ajout de matière organique stimule la biodiversité du sol, ce qui favorise indirectement les CEP en créant un environnement propice à leur cycle de vie saprophytique (non pathogène)(Elkhateeb et al., 2021; Quesada‐Moraga et al., 2023)</w:t>
        <w:br/>
        <w:t>Travail du sol : Un labour intensif peut perturber les réseaux mycéliens et la distribution des spores, soulignant l'importance des techniques de conservation du sol pour maintenir des populations indigènes de CEP efficaces(Martin, 2025; Samson, 2021)</w:t>
      </w:r>
    </w:p>
    <w:p>
      <w:r>
        <w:t>## 5. CEP et méthodes de biostimulation indigène</w:t>
        <w:br/>
        <w:t>Favoriser les populations indigènes de champignons entomopathogènes est une stratégie durable qui capitalise sur l'adaptation naturelle des souches locales au climat et au type de sol spécifique(Quesada‐Moraga et al., 2023)</w:t>
      </w:r>
    </w:p>
    <w:p>
      <w:r>
        <w:t>#### 5.1. Avantages des souches indigènes</w:t>
        <w:br/>
        <w:t>Les souches locales présentent souvent une meilleure persistance que les produits commerciaux introduits, car elles ont co-évolué avec les ravageurs locaux et les conditions abiotiques du terroir(Quesada‐Moraga et al., 2023) L'utilisation de ces ressources indigènes réduit également les risques de perturbations écologiques liées à l'introduction de micro-organismes non natifs(Stahl et al., 2018)</w:t>
      </w:r>
    </w:p>
    <w:p>
      <w:r>
        <w:t>#### 5.2. Gestion des amendements et fertilisation</w:t>
        <w:br/>
        <w:t>La composition chimique du sol influence directement la vitalité des CEP(Hallouti et al., 2020)</w:t>
        <w:br/>
        <w:t>Synergie avec la fertilisation : Des recherches récentes sur la canne à sucre ont démontré que la combinaison d'une fertilisation minérale et d'une inoculation avec Metarhizium anisopliae booste significativement la croissance initiale de la plante, montrant que les intrants classiques peuvent être compatibles avec une gestion biologique s'ils sont bien dosés (Oba et al., 2024)</w:t>
        <w:br/>
        <w:t>Matière organique : L'apport de compost et de fumier enrichit le réservoir de carbone du sol (Lazcano et al., 2022) ce qui soutient la phase saprophytique des CEP (leur survie hors hôte insecte) et favorise leur multiplication naturelle(HALLOUTI et al., 2020)</w:t>
      </w:r>
    </w:p>
    <w:p>
      <w:r>
        <w:t>#### 5.3. Pratiques culturales favorables</w:t>
        <w:br/>
        <w:t>La conservation des CEP nécessite de minimiser les perturbations physiques et chimiques du sol(Taddei &amp; Fallot, 2023)</w:t>
        <w:br/>
        <w:t>Réduction du travail du sol : Le labour intensif fragmente le réseau mycélien et expose les conidies (spores) aux rayons UV létaux en surface. Les techniques de semis direct ou de travail simplifié du sol aident à maintenir la "banque de spores" dans les horizons protecteurs(Clifton et al., 2015; Nivelle, 2017)</w:t>
        <w:br/>
        <w:t>Cultures de couverture et diversité : Maintenir une couverture végétale permanente (plantes de couverture, intercultures) fournit des niches écologiques et des exsudats racinaires qui attirent et nourrissent les CEP, tout en offrant des hôtes alternatifs pour maintenir leur cycle de reproduction(Vega et al., 2009; Vukicevich et al., 2016)</w:t>
      </w:r>
    </w:p>
    <w:p>
      <w:r>
        <w:t>#### 5.4. Réduction de la pression chimique</w:t>
        <w:br/>
        <w:t>L'un des leviers majeurs de biostimulation est la réduction des fongicides de synthèse(Malausa et al., 2018)</w:t>
        <w:br/>
        <w:t>Compatibilité : De nombreux fongicides chimiques ont des effets non intentionnels dévastateurs sur les populations indigènes de Beauveria et Metarhizium (Yadav et al., 2025)</w:t>
        <w:br/>
        <w:t>Transition agroécologique : En remplaçant progressivement les pesticides à large spectre par des solutions ciblées ou des CEP, on permet aux populations naturelles de se reconstituer, créant ainsi un effet de "fond" protecteur permanent contre les ravageurs telluriques(Elouattassi et al., 2023; Rogge et al., 2017)</w:t>
      </w:r>
    </w:p>
    <w:p>
      <w:r>
        <w:t>#### 5.5. Méthodes d'activation</w:t>
        <w:br/>
        <w:t>Des techniques émergentes suggèrent que les conditions environnementales pendant la culture, telles que la composition nutritive ou les traitements de stress, peuvent influencer les caractéristiques des spores dormantes, y compris leur vitesse et leur efficacité de germination(Emri et al., 2022)</w:t>
      </w:r>
    </w:p>
    <w:p>
      <w:r>
        <w:t>## 6. Implications pratiques</w:t>
        <w:br/>
        <w:t>La transition de la recherche en laboratoire vers l'application au champ nécessite une compréhension des contraintes environnementales et l'adoption de techniques de formulation innovantes pour garantir l'efficacité des CEP(Lacey et al., 2015)</w:t>
      </w:r>
    </w:p>
    <w:p>
      <w:r>
        <w:t>#### 6.1. Modes d'application et de livraison</w:t>
        <w:br/>
        <w:t>Le choix de la méthode d'application dépend de la cible (ravageur souterrain ou aérien) et du stade de la culture(Rilaković et al., 2025)</w:t>
        <w:br/>
        <w:t>Traitement des semences : C'est l'une des méthodes les plus prometteuses. Elle assure une colonisation endophytique précoce et protège la plantule dès la germination(Muvea et al., 2014; Shaalan et al., 2023)</w:t>
        <w:br/>
        <w:t>Trempage des racines : Très efficace pour les cultures repiquées (comme la tomate), cette méthode favorise l'établissement immédiat du champignon dans la rhizosphère(Fenibo &amp; Matambo, 2025)</w:t>
        <w:br/>
        <w:t>Application au sol : L'épandage de granulés ou l'irrigation avec des suspensions de conidies permet de traiter de grandes surfaces pour réguler les larves de sol (comme les vers blancs)(Chandel et al., 2018; Lacey et al., 2015)</w:t>
      </w:r>
    </w:p>
    <w:p>
      <w:r>
        <w:t>#### 6.2. Innovations dans la formulation</w:t>
        <w:br/>
        <w:t>La sensibilité des spores aux rayons UV et à la dessiccation reste un défi majeur. Les nouvelles formulations visent à pallier ces faiblesses(Quesada‐Moraga et al., 2023; Rodrigues et al., 2016)</w:t>
        <w:br/>
        <w:t>Microencapsulation : Cette technologie enveloppe les conidies dans des polymères protecteurs, prolongeant leur viabilité au champ et permettant une libération contrôlée(Celestino &amp; Oliveira, 2022; Felizatti et al., 2021)</w:t>
        <w:br/>
        <w:t>Formulations huileuses : Les suspensions à base d'huile améliorent l'adhérence des spores sur la cuticule des insectes et les protègent partiellement contre le dessèchement(Grijalba et al., 2018)</w:t>
      </w:r>
    </w:p>
    <w:p>
      <w:r>
        <w:t>#### 6.3. Défis environnementaux et limites</w:t>
        <w:br/>
        <w:t>L'efficacité des CEP n'est pas constante et dépend de plusieurs variables(Abalo et al., 2023)</w:t>
        <w:br/>
        <w:t>Fenêtres climatiques : Les applications doivent idéalement se faire par temps couvert ou en fin de journée pour éviter la dégradation par les UV(Bayramoğlu, 2023) Une humidité relative élevée (supérieure à 96% ou 97%) est nécessaire pour la germination des spores et le développement mycélien de la plupart des champignons entomopathogènes(Qayyum et al., 2021)</w:t>
        <w:br/>
        <w:t>Délai d'action : Contrairement aux produits chimiques à effet de choc, les CEP nécessitent plusieurs jours (3 à 7 jours) pour tuer leur hôte(Elkhateeb et al., 2021) ce qui peut rendre leur adoption difficile dans les situations où une mortalité rapide est requise(Blanford et al., 2011)</w:t>
      </w:r>
    </w:p>
    <w:p>
      <w:r>
        <w:t>#### 6.4. Recommandations pour une gestion intégrée</w:t>
        <w:br/>
        <w:t>Pour maximiser l'impact des CEP, ils doivent être intégrés dans un système global(Vivekanandhan et al., 2024)</w:t>
        <w:br/>
        <w:t>Compatibilité chimique : Éviter l'application simultanée de fongicides à large spectre qui inhibent la croissance des CEP(Rakes et al., 2025)</w:t>
        <w:br/>
        <w:t>Synergie avec la fertilisation : Utiliser les CEP en complément d'amendements organiques pour booster la vigueur initiale de la culture(Singh et al., 2021)</w:t>
        <w:br/>
        <w:t>Surveillance : Utiliser des outils de monitoring des dynamiques des champignons pour identifier les agents les mieux adaptés au contrôle des ravageurs (Wallis &amp; Sisterson, 2024)</w:t>
      </w:r>
    </w:p>
    <w:p>
      <w:r>
        <w:t>#### 6.5. Perspectives d'avenir</w:t>
        <w:br/>
        <w:t>Le futur des CEP réside dans la sélection de souches multifonctionnelles (à la fois insecticides, endophytes et biostimulantes) et dans le développement de bio-insecticides plus stables et faciles à stocker (Bamisile et al., 2021; Couceiro et al., 2025) de bases de données globales sur les interactions hôtes-champignons permettra bientôt de choisir la souche la plus adaptée à chaque type de culture et de ravageur (Wint et al., 2024)</w:t>
      </w:r>
    </w:p>
    <w:p>
      <w:r>
        <w:t>## Enrichissements :</w:t>
      </w:r>
    </w:p>
    <w:p>
      <w:r>
        <w:t>### 1. Mécanismes de transfert de nutriments (Section 3.2)</w:t>
        <w:br/>
        <w:t>La recherche a franchi une étape clé en prouvant le transfert direct d'azote entre l'insecte et la plante via le mycélium fongique(Behie &amp; Bidochka, 2013)</w:t>
        <w:br/>
        <w:t>Transfert d'azote () : Des études utilisant l'isotope ont démontré que Metarhizium robertsii et Beauveria bassiana agissent comme des conduits, transférant l'azote issu des insectes parasités vers les tissus de plantes comme le soja, le blé ou le haricot (Behie &amp; Bidochka, 2013) Ce transfert est bidirectionnel : la plante fournit des sucres (photosynthétats) au champignon en échange de cet azote organique (Bamisile et al., 2021)</w:t>
        <w:br/>
        <w:t>Solubilisation des minéraux : Au-delà de l'azote, les CEP augmentent la biodisponibilité du phosphore, du fer, du potassium et du zinc par minéralisation, facilitant leur absorption par les racines colonisées(Bamisile et al., 2021) et al., 2025)</w:t>
      </w:r>
    </w:p>
    <w:p>
      <w:r>
        <w:t>### 2. Diversité taxonomique et niches écologiques (Section 1.1)</w:t>
        <w:br/>
        <w:t>Pour compléter votre inventaire taxonomique, il est pertinent d'intégrer la diversité des genres au-delà des plus connus.</w:t>
        <w:br/>
        <w:t>Diversité des genres : Outre Beauveria et Metarhizium, le sol abrite des genres importants comme Isaria, Cordyceps, Nomuraea, ainsi que Entomophthora et Akanthomyces (anciennement Lecanicillium) (Fite et al., 2023; Vivekanandhan et al., 2024)</w:t>
        <w:br/>
        <w:t>Niches spécifiques : Des études récentes indiquent que certaines espèces de Metarhizium colonisent également les écosystèmes aquatiques et humides, ce qui élargit leur potentiel d'application au-delà des sols purement agricoles (Tang et al., 2025)</w:t>
      </w:r>
    </w:p>
    <w:p>
      <w:r>
        <w:t>### 3. Antagonisme et immunité végétale (Section 4.3)</w:t>
        <w:br/>
        <w:t>L'interaction avec les pathogènes du sol ne se limite pas à la compétition spatiale(Pommier, 2019)</w:t>
        <w:br/>
        <w:t>Modes d'action multiples : Les CEP luttent contre les maladies via l'antibiose (production de métabolites secondaires), le parasitisme direct des pathogènes et, surtout, l'induction d'une résistance systémique chez l'hôte végétal (Yadav et al., 2025)</w:t>
        <w:br/>
        <w:t>Innocuité : Un point fort à souligner est leur faible impact sur les organismes non-cibles, ce qui préserve la biodiversité fonctionnelle du sol par rapport aux traitements chimiques (Vivekanandhan et al., 2024)</w:t>
      </w:r>
    </w:p>
    <w:p>
      <w:r>
        <w:t>### 4. Innovations dans la formulation et l'application (Section 6.2)</w:t>
        <w:br/>
        <w:t>Les défis de survie des spores dans le sol peuvent être levés par de nouvelles méthodes de livraison(Johnson et al., 2001)</w:t>
        <w:br/>
        <w:t>Microencapsulation et Nano-vecteurs : L'usage de nano-porteurs améliore la précision de la livraison et la viabilité des spores face aux stress environnementaux (Yadav et al., 2025) Des formulations utilisant des microparticules sensibles au pH ont été développées pour permettre une libération ciblée (par exemple, dans l'intestin moyen des larves où le pH est basique) (Martínez et al., 2023)</w:t>
        <w:br/>
        <w:t>Émulsions de Pickering : L'encapsulation de conidies dans des émulsions huile-dans-eau stabilisées par des nanoparticules de silice permet une meilleure adhésion et une protection accrue des propagules fongiques (Martínez et al., 2023)</w:t>
        <w:br/>
        <w:t>Stratégies d'endophytisme : Pour favoriser l'établissement durable du champignon dans la plante, des formulations spécifiques pour le traitement des semences ou sous forme de granulés de semis sont recommandées afin de maintenir les spores à proximité immédiate des tissus racinaires (Krell et al., 2019)</w:t>
      </w:r>
    </w:p>
    <w:p>
      <w:r>
        <w:t>### 5. Lacunes à combler (Section 6.3)</w:t>
        <w:br/>
        <w:t>Facteurs abiotiques : La persistance et l'efficacité des CEP restent fortement corrélées à l'humidité du sol, à la température et au pH, qui peuvent inhiber la germination des spores s'ils sont hors des plages optimales(Li et al., 2009)</w:t>
        <w:br/>
        <w:t>Transmission : Les modes de transmission au sein des populations d'insectes du sol sont : horizontale (entre individus), verticale (entre générations) ou via des vecteurs passifs (Touré, 2018)</w:t>
        <w:br/>
        <w:t>References</w:t>
        <w:br/>
        <w:t>Abalo, M., Scorsetti, A. C., Vianna, F., Russo, M. L., Abajo, J. D., Pelizza, A., &amp; Keswani, C. (2023). Field evaluation of entomopathogenic fungi formulations against Rachiplusia nu (Lepidoptera: Noctuidae) in soybean crop. Journal of Plant Protection Research. https://doi.org/10.24425/jppr.2022.143232</w:t>
        <w:br/>
        <w:t>Agbessenou, A., Akutse, K. S., Yusuf, A. A., Wekesa, S. W., &amp; Khamis, F. M. (2021). Temperature-dependent modelling and spatial prediction reveal suitable geographical areas for deployment of two Metarhizium anisopliae isolates for Tuta absoluta management. Scientific Reports, 11(1). https://doi.org/10.1038/s41598-021-02718-w</w:t>
        <w:br/>
        <w:t>Ahsan, S. M., Injamum-Ul-Hoque, Md., Das, A. K., Rahman, Md. M., Mollah, Md. M. I., Paul, N. C., &amp; Choi, H. W. (2024). Plant–Entomopathogenic Fungi Interaction: Recent Progress and Future Prospects on Endophytism-Mediated Growth Promotion and Biocontrol. Plants, 13(10), 1420. https://doi.org/10.3390/plants13101420</w:t>
        <w:br/>
        <w:t>Amira, M. B. (2018). Etude de la relation mycoparasitaire Trichoderma harzianum avec Fusarium solani chez l’Olivier ; Caractérisations moléculaires et fonctionnelles des aquaporines chez Trichoderma harzianum. HAL (Le Centre Pour La Communication Scientifique Directe). https://hal.inrae.fr/tel-02789193</w:t>
        <w:br/>
        <w:t>Ayesha, M. S., Suryanarayanan, T. S., Nataraja, K. N., Prasad, S. R., &amp; Shaanker, R. U. (2021). Seed Treatment With Systemic Fungicides: Time for Review [Review of Seed Treatment With Systemic Fungicides: Time for Review]. Frontiers in Plant Science, 12. Frontiers Media. https://doi.org/10.3389/fpls.2021.654512</w:t>
        <w:br/>
        <w:t>Bamisile, B. S., Akutse, K. S., Siddiqui, J. A., &amp; Xu, Y. (2021). Model Application of Entomopathogenic Fungi as Alternatives to Chemical Pesticides: Prospects, Challenges, and Insights for Next-Generation Sustainable Agriculture [Review of Model Application of Entomopathogenic Fungi as Alternatives to Chemical Pesticides: Prospects, Challenges, and Insights for Next-Generation Sustainable Agriculture]. Frontiers in Plant Science, 12. Frontiers Media. https://doi.org/10.3389/fpls.2021.741804</w:t>
        <w:br/>
        <w:t>Barelli, L., Waller, A. S., Behie, S. W., &amp; Bidochka, M. (2020). Plant microbiome analysis after Metarhizium amendment reveals increases in abundance of plant growth-promoting organisms and maintenance of disease-suppressive soil. PLoS ONE, 15(4). https://doi.org/10.1371/journal.pone.0231150</w:t>
        <w:br/>
        <w:t>Bayramoğlu, Z. (2023). The UV protectant properties of tea extracts on entomopathogenic fungus spores and their lethal effect on Galleria mellonella (L., 1758) (Lepidoptera: Pyralidae). Turkish Journal of Entomology, 47(4), 363. https://doi.org/10.16970/entoted.1313010</w:t>
        <w:br/>
        <w:t>Behie, S. W., &amp; Bidochka, M. (2013). Ubiquity of Insect-Derived Nitrogen Transfer to Plants by Endophytic Insect-Pathogenic Fungi: an Additional Branch of the Soil Nitrogen Cycle. Applied and Environmental Microbiology, 80(5), 1553. https://doi.org/10.1128/aem.03338-13</w:t>
        <w:br/>
        <w:t>Bernonville, T. D. de. (2009). Histological, molecular and biochemical caracterisations of the compatible and incompatible interactions between Erwinia amylovora, the causative agent of fire blight, and apple tree ( Malus x domestica ). HAL (Le Centre Pour La Communication Scientifique Directe). https://theses.hal.science/tel-00482385</w:t>
        <w:br/>
        <w:t>Blanford, J. I., Shi, W., Christian, R., Marden, J. H., Koekemoer, L. L., Brooke, B. D., Coetzee, M., Read, A. F., &amp; Thomas, M. B. (2011). Lethal and Pre-Lethal Effects of a Fungal Biopesticide Contribute to Substantial and Rapid Control of Malaria Vectors. PLoS ONE, 6(8). https://doi.org/10.1371/journal.pone.0023591</w:t>
        <w:br/>
        <w:t>Branine, M., Bazzicalupo, A., &amp; Branco, S. (2019). Biology and applications of endophytic insect-pathogenic fungi [Review of Biology and applications of endophytic insect-pathogenic fungi]. PLoS Pathogens, 15(7). Public Library of Science. https://doi.org/10.1371/journal.ppat.1007831</w:t>
        <w:br/>
        <w:t>Celestino, M. F., &amp; Oliveira, J. A. dos S. (2022). Métodos de encapsulamento de fungos entomopatogênicos para sua aplicação no controle biológico. Research Society and Development, 11(16). https://doi.org/10.33448/rsd-v11i16.38031</w:t>
        <w:br/>
        <w:t>Chandel, R. S., Soni, S., Vashisth, S., Pathania, M., Mehta, P. K., Rana, A., Bhatnagar, A., &amp; Agrawal, V. (2018). The potential of entomopathogens in biological control of white grubs. International Journal of Pest Management, 65(4), 348. https://doi.org/10.1080/09670874.2018.1524183</w:t>
        <w:br/>
        <w:t>Clifton, E. H., Jaronski, S. T., Hodgson, E. W., &amp; Gassmann, A. J. (2015). Abundance of Soil-Borne Entomopathogenic Fungi in Organic and Conventional Fields in the Midwestern USA with an Emphasis on the Effect of Herbicides and Fungicides on Fungal Persistence. PLoS ONE, 10(7). https://doi.org/10.1371/journal.pone.0133613</w:t>
        <w:br/>
        <w:t>Couceiro, J. C., Wood, M. J., Papadopoulos, A., Silva, J. J., Vontas, J., &amp; Dimopoulos, G. (2025). Development of Mycoinsecticides: Advances in Formulation, Regulatory Challenges and Market Trends for Entomopathogenic Fungi. Journal of Fungi, 12(1), 7. https://doi.org/10.3390/jof12010007</w:t>
        <w:br/>
        <w:t>Dargiri, S. A., Naeimi, S., &amp; Nekouei, M. K. (2024). Endophytic Microorganisms: Harnessing Biological Control for Biotic and Abiotic Stress Management in Plants. In IntechOpen eBooks. IntechOpen. https://doi.org/10.5772/intechopen.1005390</w:t>
        <w:br/>
        <w:t>Devi, Y. B., Meetei, T. T., &amp; Kumari, N. (2018). Impact of Pesticides on Soil Microbial Diversity and Enzymes: A Review [Review of Impact of Pesticides on Soil Microbial Diversity and Enzymes: A Review]. International Journal of Current Microbiology and Applied Sciences, 7(6), 952. Excellent Publishers. https://doi.org/10.20546/ijcmas.2018.706.113</w:t>
        <w:br/>
        <w:t>Dzięgielewska, M., &amp; Adamska, I. (2020). Survey of entomopathogenic nematodes and fungi in agricultural areas. Plant Protection Science, 56(3), 214. https://doi.org/10.17221/7/2019-pps</w:t>
        <w:br/>
        <w:t>Elkhateeb, W. A., Mousa, M., Elnahas, M. O., &amp; Daba, G. M. (2021). Fungi against insects and contrariwise as biological control models. Egyptian Journal of Biological Pest Control, 31(1). https://doi.org/10.1186/s41938-020-00360-8</w:t>
        <w:br/>
        <w:t>Elouattassi, Y., Ferioun, M., Ghachtouli, N. E., Derraz, K., &amp; Rachidi, F. (2023). Agroecological concepts and alternatives to the problems of contemporary agriculture: Monoculture and chemical fertilization in the context of climate change. Journal of Agriculture and Environment for International Development (JAEID), 117(2), 41. https://doi.org/10.36253/jaeid-14672</w:t>
        <w:br/>
        <w:t>Emri, T., Forgács, K., &amp; Pócsi, I. (2022). Biologia futura: combinatorial stress responses in fungi [Review of Biologia futura: combinatorial stress responses in fungi]. Biologia Futura, 73(2), 207. Springer Science+Business Media. https://doi.org/10.1007/s42977-022-00121-8</w:t>
        <w:br/>
        <w:t>Felizatti, A. P., Manzano, R. M., Rodrigues, I. M. W., Silva, M. F. das G. F. da, Fernandes, J. B., &amp; Forim, M. R. (2021). Encapsulation of B. bassiana in Biopolymers: Improving Microbiology of Insect Pest Control. Frontiers in Microbiology, 12. https://doi.org/10.3389/fmicb.2021.704812</w:t>
        <w:br/>
        <w:t>Fenibo, E. O., &amp; Matambo, T. S. (2025). Biopesticides for sustainable agriculture: feasible options for adopting cost-effective strategies. Frontiers in Sustainable Food Systems, 9. https://doi.org/10.3389/fsufs.2025.1657000</w:t>
        <w:br/>
        <w:t>Fite, T., Kebede, E., Tefera, T., &amp; Bekeko, Z. (2023). Endophytic fungi: versatile partners for pest biocontrol, growth promotion, and climate change resilience in plants. Frontiers in Sustainable Food Systems, 7. https://doi.org/10.3389/fsufs.2023.1322861</w:t>
        <w:br/>
        <w:t>Francis, F., Mabola, J. C. F., &amp; Fekih, I. B. (2022). Direct and Endophytic Effects of Fungal Entomopathogens for Sustainable Aphid Control: A Review [Review of Direct and Endophytic Effects of Fungal Entomopathogens for Sustainable Aphid Control: A Review]. Agriculture, 12(12), 2081. Multidisciplinary Digital Publishing Institute. https://doi.org/10.3390/agriculture12122081</w:t>
        <w:br/>
        <w:t>Gebramariam, A., Mekuriaw, E., &amp; Assefa, F. (2022). Effects of Myco-Entomopathogens on Bio-Control of Trialeurodes Vaporariorum, Endophytic Colonization of Tomato, and Compatibility with selected pesticides. Research Square (Research Square). https://doi.org/10.21203/rs.3.rs-1835624/v1</w:t>
        <w:br/>
        <w:t>Gielen, R., Ude, K., Kaasik, A., Põldmaa, K., Teder, T., &amp; Tammaru, T. (2024). Entomopathogenic Fungi as Mortality Agents in Insect Populations: A Review. Ecology and Evolution, 14(12). https://doi.org/10.1002/ece3.70666</w:t>
        <w:br/>
        <w:t>González‐Guzmán, A., Rey, M.-D., Froussart, E., &amp; Quesada‐Moraga, E. (2022). Elucidating the Effect of Endophytic Entomopathogenic Fungi on Bread Wheat Growth through Signaling of Immune Response-Related Hormones. Applied and Environmental Microbiology, 88(18). https://doi.org/10.1128/aem.00882-22</w:t>
        <w:br/>
        <w:t>Grijalba, É., Espinel, C., Cuartas, P., Chaparro, M., &amp; Villamizar, L. (2018). Metarhizium rileyi biopesticide to control Spodoptera frugiperda: Stability and insecticidal activity under glasshouse conditions. Fungal Biology, 122(11), 1069. https://doi.org/10.1016/j.funbio.2018.08.010</w:t>
        <w:br/>
        <w:t>Guissou, T., Babana, A. H., Sanon, K. B., &amp; Bâ, A. (2016). Effects of arbuscular mycorrhizae on growth and mineral nutrition of greenhouse propagated fruit trees from diverse geographic provenances. BASE, 417. https://doi.org/10.25518/1780-4507.13149</w:t>
        <w:br/>
        <w:t>HALLOUTI, A., Hamza, M. A., Zahidi, A., Hammou, R. A., BOUHARROUD, R., Aoumar, A. A. B., &amp; Boubaker, H. (2020a). Diversity of entomopathogenic fungi associated with Mediterranean fruit fly (C. capitata) in Moroccan Argan forests and nearby area: impact of soil factors on their distribution. Research Square (Research Square). https://doi.org/10.21203/rs.3.rs-29914/v1</w:t>
        <w:br/>
        <w:t>HALLOUTI, A., Hamza, M. A., Zahidi, A., Hammou, R. A., BOUHARROUD, R., Aoumar, A. A. B., &amp; Boubaker, H. (2020b). Diversity of entomopathogenic fungi associated with Mediterranean fruit fly (Ceratitis capitata (Diptera: Tephritidae)) in Moroccan Argan forests and nearby area: impact of soil factors on their distribution. Research Square (Research Square). https://doi.org/10.21203/rs.3.rs-29914/v4</w:t>
        <w:br/>
        <w:t>Hallouti, A., Hamza, M. A., Zahidi, A., Hammou, R. A., Bouharroud, R., Aoumar, A. A. B., &amp; Boubaker, H. (2020). Diversity of entomopathogenic fungi associated with Mediterranean fruit fly (Ceratitis capitata (Diptera: Tephritidae)) in Moroccan Argan forests and nearby area: impact of soil factors on their distribution. BMC Ecology, 20(1). https://doi.org/10.1186/s12898-020-00334-2</w:t>
        <w:br/>
        <w:t>Hendra, Y., Ulpah, S., trizelia, T., Syahrawati, M., &amp; Saragih, M. T. (2026). Triple functional roles of endophytic fungi in pest management: a systematic review. Egyptian Journal of Biological Pest Control, 36(1). https://doi.org/10.1186/s41938-025-00874-z</w:t>
        <w:br/>
        <w:t>Jamunarani, G. S., Ramanagouda, S. H., Venkateshalu, B., Jayappa, J., Gunnaiah, R., Rudresh, D. L., Kulkarni, M. S., Naika, M., &amp; Gopali, J. B. (2022). Isolation and evaluation of indigenous endophytic entomopathogenic fungus, Beauveria bassiana UHSB-END1 (Hypocreales: Cordycipitaceae), against Spodoptera litura Fabricius. Egyptian Journal of Biological Pest Control, 32(1). https://doi.org/10.1186/s41938-022-00617-4</w:t>
        <w:br/>
        <w:t>Jashni, M. K., Mehrabi, R., Collemare, J., Mesarich, C. H., &amp; Wit, P. J. G. M. de. (2015). The battle in the apoplast: further insights into the roles of proteases and their inhibitors in plant–pathogen interactions [Review of The battle in the apoplast: further insights into the roles of proteases and their inhibitors in plant–pathogen interactions]. Frontiers in Plant Science, 6. Frontiers Media. https://doi.org/10.3389/fpls.2015.00584</w:t>
        <w:br/>
        <w:t>Johnson, V., Pearson, J. F., &amp; Jackson, T. A. (2001). Formulations for delivery of microorganisms to soil. Proceedings of the New Zealand Weed Control Conference, 54, 255. https://doi.org/10.30843/nzpp.2001.54.3772</w:t>
        <w:br/>
        <w:t>Krell, V., Jakobs-Schoenwandt, D., &amp; Patel, A. (2019). Application of Formulated Endophytic Entomopathogenic Fungi for Novel Plant Protection Strategies. In Cambridge University Press eBooks (p. 52). Cambridge University Press. https://doi.org/10.1017/9781108607667.004</w:t>
        <w:br/>
        <w:t>Kumar, P. (2024). Induced Systemic Resistance in Plants: Mechanisms and Agricultural Significance. Journal for Research in Applied Sciences and Biotechnology, 3(4), 197. https://doi.org/10.55544/jrasb.3.4.24</w:t>
        <w:br/>
        <w:t>Kutalmış, A., Terzioğlu, Z., Şen, R. H., &amp; Sevim, A. (2023). Phylogenetic analysis and biocontrol potential of entomopathogenic fungi against Tropinota (=Epicometis) hirta (Poda) (Coleoptera: Cetoniidae) and the apple scab disease Ventura inaequalis. Egyptian Journal of Biological Pest Control, 33(1). https://doi.org/10.1186/s41938-023-00652-9</w:t>
        <w:br/>
        <w:t>Lacey, L. A., Grzywacz, D., Shapiro‐Ilan, D. I., Frutos, R., Brownbridge, M., &amp; Goettel, M. S. (2015). Insect pathogens as biological control agents: Back to the future [Review of Insect pathogens as biological control agents: Back to the future]. Journal of Invertebrate Pathology, 132, 1. Elsevier BV. https://doi.org/10.1016/j.jip.2015.07.009</w:t>
        <w:br/>
        <w:t>Lannou, C. C., Papaïx, J., Goyeau, H., &amp; Monod, H. (2012). Gérer les variétés résistantes aux maladies à l’échelle des territoires agricoles. HAL (Le Centre Pour La Communication Scientifique Directe). https://hal.archives-ouvertes.fr/hal-00999951</w:t>
        <w:br/>
        <w:t>Lazcano, C., Decock, C., Wong, C. T. F., &amp; Garcia-Brucher, K. (2022). Assessing the effects of compost on soil health. In Burleigh Dodds series in agricultural science (p. 221). Burleigh Dodds Science Publishing Limited. https://doi.org/10.19103/as.2021.0094.06</w:t>
        <w:br/>
        <w:t>Li, G., Liu, X., Sun, M., Li, S., &amp; Wang, J. (2009). Use of a novel two-stage cultivation method to determine the effects of environmental factors on the growth and sporulation of several biocontrol fungi. Mycoscience, 50(4), 317. https://doi.org/10.47371/mycosci.myc50317</w:t>
        <w:br/>
        <w:t>Liu, M., Wang, H., Lin, Z., Ke, J., Zhang, P., Zhang, F., Ru, D., Zhang, L., Xiao, Y., &amp; Liu, X. (2023). Arbuscular mycorrhizal fungi inhibit necrotrophic, but not biotrophic, aboveground plant pathogens: a meta‐analysis and experimental study. New Phytologist, 241(3), 1308. https://doi.org/10.1111/nph.19392</w:t>
        <w:br/>
        <w:t>Liu, T., Chen, W., Zhang, K., Hu, X., Berestetskiy, A., Hu, Q., &amp; Weng, Q. (2025). Three new entomopathogenic fungal species isolated from soil in China. Frontiers in Microbiology, 16. https://doi.org/10.3389/fmicb.2025.1705425</w:t>
        <w:br/>
        <w:t>Liu, Y., Yang, Y., &amp; Wang, B. (2022). Entomopathogenic fungi Beauveria bassiana and Metarhizium anisopliae play roles of maize (Zea mays) growth promoter. Scientific Reports, 12(1). https://doi.org/10.1038/s41598-022-19899-7</w:t>
        <w:br/>
        <w:t>Malausa, T., Jacquin‐Joly, E., Frérot, B., Marion‐Poll, F., Thiéry, D., Martin, J., Levevre, A., Navajas, M., Tabone, É., Rasplus, J., Ris, N., Ogier, J.-C., Pagès, S., Givaudan, A., Gaudriault, S., Gatti, J., Lavigne, C., Bouvier, J., Mailleret, L., … Brisset, M.-N. (2018). Les conquêtes de l’INRA pour le biocontrôle. HAL (Le Centre Pour La Communication Scientifique Directe). https://hal.archives-ouvertes.fr/hal-01963048</w:t>
        <w:br/>
        <w:t>Martin, F. (2025). Les communautés fongiques des sols forestiers face aux changements climatiques. Comptes Rendus Biologies, 348, 167. https://doi.org/10.5802/crbiol.179</w:t>
        <w:br/>
        <w:t>Martínez, Y., Ribera, J., Schwarze, F. W. M. R., &amp; France, K. J. D. (2023). Biotechnological development of Trichoderma-based formulations for biological control [Review of Biotechnological development of Trichoderma-based formulations for biological control]. Applied Microbiology and Biotechnology, 107(18), 5595. Springer Science+Business Media. https://doi.org/10.1007/s00253-023-12687-x</w:t>
        <w:br/>
        <w:t>Matveev, S., Reingold, V., Doron‐Faigenboim, A., Livne, Y., Davidovitz, M., &amp; Ment, D. (2025). Entomopathogenic fungi as dual-function biocontrol agents: persistence and microbiome modulation in date palm soils. bioRxiv (Cold Spring Harbor Laboratory). https://doi.org/10.1101/2025.11.02.686131</w:t>
        <w:br/>
        <w:t>Miranda‐Fuentes, P., García-Carneros, A. B., Montilla‐Carmona, A. M., &amp; Molinero‐Ruiz, L. (2020). Evidence of soil‐located competition as the cause of the reduction of sunflower verticillium wilt by entomopathogenic fungi. Plant Pathology, 69(8), 1492. https://doi.org/10.1111/ppa.13230</w:t>
        <w:br/>
        <w:t>Muvea, A., Meyhöfer, R., Subramanian, S., Poehling, H., Ekesi, S., &amp; Maniania, N. K. (2014). Colonization of Onions by Endophytic Fungi and Their Impacts on the Biology of Thrips tabaci. PLoS ONE, 9(9). https://doi.org/10.1371/journal.pone.0108242</w:t>
        <w:br/>
        <w:t>Mwamburi, L. A. (2021). Endophytic fungi, Beauveria bassiana and Metarhizium anisopliae, confer control of the fall armyworm, Spodoptera frugiperda (J. E. Smith) (Lepidoptera: Noctuidae), in two tomato varieties. Egyptian Journal of Biological Pest Control, 31(1). https://doi.org/10.1186/s41938-020-00357-3</w:t>
        <w:br/>
        <w:t>Nivelle, É. (2017). Assessing the effects of nitrogen and herbicides on soil quality indicators in contrasted agrosystems. HAL (Le Centre Pour La Communication Scientifique Directe). https://theses.hal.science/tel-03650491</w:t>
        <w:br/>
        <w:t>Oba, L. X. de S., Mattos, L. M., Paiva, G. F., Carrasco, N. F., Santos, E. F., &amp; Mota, L. H. C. (2024). PLANTING FERTILIZATION AND Metarhizium anisopliae INOCULATION IN THE INITIAL GROWTH OF SUGARCANE. REVISTA DE AGRICULTURA NEOTROPICAL, 11(1). https://doi.org/10.32404/rean.v11i1.7712</w:t>
        <w:br/>
        <w:t>Pommier, T. (2019). Relations Diversité -Fonctionnement -Services Écosystémiques chez les micro-organismes de l’environnement. HAL (Le Centre Pour La Communication Scientifique Directe). https://hal.inrae.fr/tel-02946859</w:t>
        <w:br/>
        <w:t>Qayyum, M. A., Bilal, H., Ullah, U. N., Ali, H., &amp; Raza, H. (2021). Factors Affecting the Epizootics of Entomopathogenic Fungi-A Review. Journal of Bioresource Management, 8(4), 78. https://doi.org/10.35691/jbm.1202.0204</w:t>
        <w:br/>
        <w:t>Quesada‐Moraga, E., Garrido‐Jurado, I., Yousef-Yousef, M., &amp; González-Mas, N. (2022). Multitrophic interactions of entomopathogenic fungi in BioControl. BioControl, 67(5), 457. https://doi.org/10.1007/s10526-022-10163-5</w:t>
        <w:br/>
        <w:t>Quesada‐Moraga, E., González-Mas, N., Yousef-Yousef, M., Garrido‐Jurado, I., &amp; Fernández‐Bravo, M. (2023). Key role of environmental competence in successful use of entomopathogenic fungi in microbial pest control. Journal of Pest Science, 97(1), 1. https://doi.org/10.1007/s10340-023-01622-8</w:t>
        <w:br/>
        <w:t>Rakes, M., Morais, M. C., Sperotto, M. E., Zanardi, O. Z., Palma, G. R., Floriano, L., Zanella, R., Prestes, O. D., Bernardi, D., Grützmacher, A. D., &amp; Ribeiro, L. do P. (2025). Fungicides vs mycoinsecticides in the management of corn leafhopper:  physicochemical, in vitro and in vivo compatibilities, and degradation  kinetics in maize plants. arXiv (Cornell University). https://doi.org/10.48550/arxiv.2503.21606</w:t>
        <w:br/>
        <w:t>Rilaković, A., Santana, A. da S., Zarić, M., Manthena, V., Golus, J. A., Kruger, G. R., Vélez, A. M., &amp; Peterson, J. A. (2025). Comparing simulated aerial and chemigation insecticide applications to manage western bean cutworm (Lepidoptera: Noctuidae) in corn. Journal of Economic Entomology, 118(2), 672. https://doi.org/10.1093/jee/toae306</w:t>
        <w:br/>
        <w:t>Rivas-Franco, F., Hampton, J. G., Altier, N., Swaminathan, J., Rostás, M., Wessman, P., Saville, D. J., Jackson, T. A., Jackson, M. A., &amp; Glare, T. R. (2020). Production of Microsclerotia From Entomopathogenic Fungi and Use in Maize Seed Coating as Delivery for Biocontrol Against Fusarium graminearum. Frontiers in Sustainable Food Systems, 4. https://doi.org/10.3389/fsufs.2020.606828</w:t>
        <w:br/>
        <w:t>Rizal, L. M., Hereward, J., Brookes, D. R., Furlong, M. J., &amp; Walter, G. H. (2023). Hidden diversity within Beauveria and Metarhizium – Comparing morphology, barcoding, multilocus phylogenies and whole-genome sequences. Fungal Ecology, 67, 101304. https://doi.org/10.1016/j.funeco.2023.101304</w:t>
        <w:br/>
        <w:t>Rochefort, A. (2020). The Brassica napus seed microbiota : assemblage, transmission and contribution to plant response to a soilborne fungal pathogen. HAL (Le Centre Pour La Communication Scientifique Directe). https://tel.archives-ouvertes.fr/tel-03285677</w:t>
        <w:br/>
        <w:t>Rodrigues, I. M. W., Forim, M. R., Silva, M. F. das G. F. da, Fernandes, J. B., &amp; Filho, A. B. (2016). Effect of Ultraviolet Radiation on Fungi &amp;lt;i&amp;gt;Beauveria bassiana&amp;lt;/i&amp;gt; and &amp;lt;i&amp;gt;Metarhizium anisopliae&amp;lt;/i&amp;gt;, Pure and Encapsulated, and Bio-Insecticide Action on &amp;lt;i&amp;gt;Diatraea saccharalis&amp;lt;/i&amp;gt; Advances in Entomology, 4(3), 151. https://doi.org/10.4236/ae.2016.43016</w:t>
        <w:br/>
        <w:t>Rogge, S. A., Mayerhofer, J., Enkerli, J., Bacher, S., &amp; Grabenweger, G. (2017). Preventive application of an entomopathogenic fungus in cover crops for wireworm control. BioControl, 62(5), 613. https://doi.org/10.1007/s10526-017-9816-x</w:t>
        <w:br/>
        <w:t>Saif, I., Sufyan, M., Baboo, I., Jabbar, M., Shafiq, A., Saif, R. N., Liaqat, U., &amp; Lackner, M. (2024). Efficacy of Beauveria bassiana and Metarhizium anisopliae against wheat aphid. The EuroBiotech Journal, 8(1), 23. https://doi.org/10.2478/ebtj-2024-0003</w:t>
        <w:br/>
        <w:t>Samal, I., Bhoi, T. K., Majhi, P. K., Murmu, S., Pradhan, A. K., Kumar, D., Saini, V., Paschapur, A. U., Raj, M. N., Ankur, A., Manik, S., Behera, P. P., Mahanta, D. K., Komal, J., Alam, P., &amp; Balawi, T. A. (2023). Combatting insects mediated biotic stress through plant associated endophytic entomopathogenic fungi in horticultural crops [Review of Combatting insects mediated biotic stress through plant associated endophytic entomopathogenic fungi in horticultural crops]. Frontiers in Plant Science, 13. Frontiers Media. https://doi.org/10.3389/fpls.2022.1098673</w:t>
        <w:br/>
        <w:t>Samson, M.-É. (2021). Agronomic and environmental effect of soil conservation management practices in field crops production : Crop yield and soil carbon and nitrogen dynamics. HAL (Le Centre Pour La Communication Scientifique Directe). https://tel.archives-ouvertes.fr/tel-03609144</w:t>
        <w:br/>
        <w:t>Sánchez‐Rodríguez, A. R., Raya–Díaz, S., Zamarreño, Á. M., García‐Mina, J. M., Campillo, M. C. del, &amp; Quesada‐Moraga, E. (2017). An endophytic Beauveria bassiana strain increases spike production in bread and durum wheat plants and effectively controls cotton leafworm (Spodoptera littoralis) larvae. Biological Control, 116, 90. https://doi.org/10.1016/j.biocontrol.2017.01.012</w:t>
        <w:br/>
        <w:t>Sani, I., Jamian, S., Saad, N., Abdullah, S., Hata, E. M., Jalinas, J., &amp; Ismail, S. I. (2023). Inoculation and colonization of the entomopathogenic fungi, Isaria javanica and Purpureocillium lilacinum, in tomato plants, and their effect on seedling growth, mortality and adult emergence of Bemisia tabaci (Gennadius). PLoS ONE, 18(5). https://doi.org/10.1371/journal.pone.0285666</w:t>
        <w:br/>
        <w:t>Shaalan, R., Gerges, E., Habib, W., &amp; Ibrahim, L. (2023). Endophytic colonization by Beauveria bassiana and Metarhizium anisopliae induces growth promotion effect and increases the resistance of cucumber plants against Aphis gossypii. Journal of Plant Protection Research. https://doi.org/10.24425/jppr.2021.139244</w:t>
        <w:br/>
        <w:t>Sharma, R., &amp; Sharma, P. (2021). Fungal entomopathogens: a systematic review [Review of Fungal entomopathogens: a systematic review]. Egyptian Journal of Biological Pest Control, 31(1). Springer Nature. https://doi.org/10.1186/s41938-021-00404-7</w:t>
        <w:br/>
        <w:t>Singh, S., Jangre, A., &amp; Tiwari, R. (2021). Performance of Beauveria bassiana and Metarhizium anisopliae against Pyrilla (Pyrilla perpusilla) in sugarcane. Journal of Pharmacognosy and Phytochemistry, 10(1), 1467. https://doi.org/10.22271/phyto.2021.v10.i1u.13552</w:t>
        <w:br/>
        <w:t>Soesanto, L., Sari, L. Y., Mugiastuti, E., &amp; Manan, A. (2021). CROSS APPLICATION OF ENTOMOPATHOGENIC FUNGI RAW SECONDARY METABOLITES FOR CONTROLLING FUSARIUM WILT OF CHILI SEEDLINGS. JURNAL HAMA DAN PENYAKIT TUMBUHAN TROPIKA, 21(2), 82. https://doi.org/10.23960/jhptt.22182-90</w:t>
        <w:br/>
        <w:t>Stahl, J. M., Babendreier, D., &amp; Haye, T. (2018). Using the egg parasitoid Anastatus bifasciatus against the invasive brown marmorated stink bug in Europe: can non-target effects be ruled out? Journal of Pest Science, 91(3), 1005. https://doi.org/10.1007/s10340-018-0969-x</w:t>
        <w:br/>
        <w:t>Taddei, A., &amp; Fallot, A. (2023). Collection of soil metaphors. HAL (Le Centre Pour La Communication Scientifique Directe). https://hal.science/hal-04124348</w:t>
        <w:br/>
        <w:t>Tang, X., Wang, X., Cheng, X., Wang, X., &amp; Fang, W. (2025). Metarhizium fungi as plant symbionts. New Plant Protection., 2(1). https://doi.org/10.1002/npp2.23</w:t>
        <w:br/>
        <w:t>Touré, S. (2018). Interactions between insects and entomopathogenic microorganisms to discover new insecticidal and antimicrobial compounds. HAL (Le Centre Pour La Communication Scientifique Directe). https://tel.archives-ouvertes.fr/tel-02163933</w:t>
        <w:br/>
        <w:t>Vega, F. E., Goettel, M. S., Blackwell, M. S. A., Chandler, D., Jackson, M. A., Keller, S., Koike, M., Maniania, N. K., Monzón, A., Ownley, B. H., Pell, J. K., Rangel, D. E. N., &amp; Roy, H. E. (2009). Fungal entomopathogens: new insights on their ecology. Fungal Ecology, 2(4), 149. https://doi.org/10.1016/j.funeco.2009.05.001</w:t>
        <w:br/>
        <w:t>Vivekanandhan, P., Alford, L., &amp; Krutmuang, P. (2024). Editorial: Role of entomopathogenic fungi in sustainable agriculture. Frontiers in Microbiology, 15, 1504175. https://doi.org/10.3389/fmicb.2024.1504175</w:t>
        <w:br/>
        <w:t>Vivekanandhan, P., Kannan, S., Sarayut, P., &amp; Krutmuang, P. (2024). Biology, classification, and entomopathogen-based management and their mode of action on Tuta absoluta (Meyrick) in Asia [Review of Biology, classification, and entomopathogen-based management and their mode of action on Tuta absoluta (Meyrick) in Asia]. Frontiers in Microbiology, 15. Frontiers Media. https://doi.org/10.3389/fmicb.2024.1429690</w:t>
        <w:br/>
        <w:t>Vukicevich, E., Lowery, T., Bowen, P., Úrbez‐Torres, J. R., &amp; Hart, M. M. (2016). Cover crops to increase soil microbial diversity and mitigate decline in perennial agriculture. A review [Review of Cover crops to increase soil microbial diversity and mitigate decline in perennial agriculture. A review]. Agronomy for Sustainable Development, 36(3). Springer Science+Business Media. https://doi.org/10.1007/s13593-016-0385-7</w:t>
        <w:br/>
        <w:t>Wakil, W., Tahir, M., Al‐Sadi, A. M., &amp; Shapiro‐Ilan, D. I. (2020). Interactions Between Two Invertebrate Pathogens: An Endophytic Fungus and an Externally Applied Bacterium. Frontiers in Microbiology, 11. https://doi.org/10.3389/fmicb.2020.522368</w:t>
        <w:br/>
        <w:t>Wallis, C. M., &amp; Sisterson, M. S. (2024). Opportunities for optimizing fungal biological control agents for long-term and effective management of insect pests of orchards and vineyards: a review [Review of Opportunities for optimizing fungal biological control agents for long-term and effective management of insect pests of orchards and vineyards: a review]. Frontiers in Fungal Biology, 5. Frontiers Media. https://doi.org/10.3389/ffunb.2024.1443343</w:t>
        <w:br/>
        <w:t>Wei, Y., He, J., Liang, C., &amp; Cheng, D. (2024). Isolation, identification, biological characteristics, and pathogenicity of an entomogenous fungus against the Egyptian mealybug, Icerya aegyptiaca (J.) (Hemiptera: Monophlebidae). Egyptian Journal of Biological Pest Control, 34(1). https://doi.org/10.1186/s41938-024-00802-7</w:t>
        <w:br/>
        <w:t>Wint, F. C. D., Nicholson, S. W., Koid, Q. Q., Zahra, S., Chestney-Claassen, G., Seelan, J. S. S., Xie, J., Xing, S., Fayle, T. M., &amp; Haelewaters, D. (2024). Introducing a global database of entomopathogenic fungi and their host associations. Scientific Data, 11(1), 1418. https://doi.org/10.1038/s41597-024-04103-4</w:t>
        <w:br/>
        <w:t>Yadav, S., Thodusu, M., Shankar, U., Nautiyal, A., Khajuria, M., Sarangi, S., Maheshwari, S., &amp; Pandey, K. P. (2025). Entomopathogenic Fungi: Dual Role in Insect Control and Plant Disease Management. UTTAR PRADESH JOURNAL OF ZOOLOGY, 46(2), 172. https://doi.org/10.56557/upjoz/2025/v46i24772</w:t>
      </w:r>
    </w:p>
    <w:p>
      <w:r>
        <w:t>## 1. Principes du quorum sensing bactérien dans le sol</w:t>
        <w:br/>
        <w:t>Le quorum sensing (QS) désigne le mécanisme de communication intercellulaire par lequel les micro-organismes perçoivent leur densité de population en émettant et en détectant des molécules signal (autoinducteurs). Lorsqu'un seuil critique de concentration est atteint — reflétant une densité cellulaire suffisante (« quorum ») — les bactéries coordonnent l'expression de gènes cibles et déclenchent des comportements collectifs(Bello et al., 2020)</w:t>
        <w:br/>
        <w:t>Dans la rhizosphère, les classes principales de molécules QS sont :</w:t>
        <w:br/>
        <w:t>**Acyl-homosérine lactones (AHLs)** : signaux canoniques des bactéries à Gram négatif (*Pseudomonas*, *Agrobacterium*, *Rhizobium*), impliqués dans la colonisation racinaire, la formation de biofilms et la production de facteurs de virulence(Kanchiswamy et al., 2015)</w:t>
        <w:br/>
        <w:t>**Peptides autoinducteurs** : utilisés préférentiellement par les bactéries à Gram positif (*Bacillus*)(Alum et al., 2025)</w:t>
        <w:br/>
        <w:t>**Autoinducteur-2 (AI-2)** : molécule universelle intra- et interspécifique, facilitant la communication inter-règnes(Xavier, 2018)</w:t>
        <w:br/>
        <w:t>Les comportements régulés par QS incluent la formation de **biofilms protecteurs** à la surface racinaire, la production concertée d'**antibiotiques** destinés à évincer les compétiteurs pathogènes, la **motilité** (swarming), et la synthèse d'**enzymes lytiques** permettant la pénétration des tissus hôtes(Zhu et al., 2023)</w:t>
      </w:r>
    </w:p>
    <w:p>
      <w:r>
        <w:t>## 2. Rhizosphère : zone fonctionnelle de communication chimique(Sibanyoni et al., 2025)</w:t>
        <w:br/>
        <w:t>La rhizosphère constitue la zone du sol immédiatement influencée par l'activité racinaire, caractérisée par une densité microbienne de 10 à 100 fois supérieure à celle du sol massif, où les échanges chimiques entre la plante et son microbiome sont les plus intenses (Violante &amp; Caporale, 2015) Les plantes y libèrent 11 % à 40 % — et parfois jusqu'à 80 % — de leur carbone photosynthétisé sous forme de **rhizodépôts** (exsudats, mucilages, débris cellulaires) (Arndal, 2012; Cheng &amp; Gershenson, 2007)</w:t>
        <w:br/>
        <w:t>Ces exsudats comprennent des sucres, des acides aminés, des acides organiques (malique, citrique, fumarique, succinique) et des métabolites secondaires spécialisés qui agissent en tant qu'**agents chimiotactiques** recrutant des bactéries bénéfiques telles que *Bacillus velezensis* ou *Pseudomonas fluorescens*(Sharma et al., 2020; Sibanyoni et al., 2025) Les acides citriques et fumariques sont des chimioattractants relativement plus puissants, suggérant qu'ils pourraient être les bio-attractants les plus efficaces pour induire la colonisation racinaire (Ma et al., 2021)</w:t>
        <w:br/>
        <w:t>Le recrutement microbien s'opère selon une dynamique moléculaire précise : il débute par l'émission d'homosérines (impliquées dans le quorum-sensing), puis par une exsudation plus importante d'acides aminés et d'acides organiques pour attirer et stabiliser les partenaires(Amy, 2021) Sous carence en P ou N, la plante augmente la sécrétion de **strigolactones** (recrutement des champignons mycorhiziens) (Molefe et al., 2023) et de **flavonoïdes** (induction des gènes *nod* chez les rhizobia)(Kumar et al., 2024) (Ait-El-Mokhtar &amp; Baslam, 2023)</w:t>
      </w:r>
    </w:p>
    <w:p>
      <w:r>
        <w:t>## 3. Interférence végétale avec le quorum sensing (quorum quenching)</w:t>
        <w:br/>
        <w:t>La plante n'est pas un acteur passif de ce dialogue microbien : elle peut activement **perturber le quorum sensing des pathogènes** (quorum quenching) pour se défendre(Li et al., 2020; Tariq &amp; Ahmed, 2023) Les plantes produisent du GABA (acide gamma-aminobutyrique), molécule capable d'inhiber le quorum sensing d'*Agrobacterium tumefaciens* et de réduire sa pathogénicité(Tarkowski et al., 2020) Cette interférence inter-règne constitue une stratégie de défense sophistiquée permettant à l'hôte de manipuler la coordination sociale des communautés bactériennes pathogènes sans exercer de pression de sélection létale.</w:t>
        <w:br/>
        <w:t>Parallèlement, la plante peut exsuder des **composés phénoliques** pour recruter des *Pseudomonas* producteurs de sidérophores en cas de carence en fer(Lurthy, 2020) ou des acides organiques sous stress salin (Liu et al., 2021) (*Limonium sinense*). Le mécanisme **SIREM** (Systemically Induced Root Exudation of Metabolites) montre que la colonisation locale par des rhizobactéries déclenche une exsudation systémique de métabolites protecteurs (acylsucres) dans l'ensemble du système racinaire (Song et al., 2021)</w:t>
      </w:r>
    </w:p>
    <w:p>
      <w:r>
        <w:t>## 4. Biofilms rhizosphériques et continuum signalétique</w:t>
        <w:br/>
        <w:t>Une fois le quorum atteint, les bactéries coordonnent la formation de **biofilms** — communautés structurées enrobées d'une matrice d'exopolysaccharides (EPS) adhérant à la surface racinaire(Saharan et al., 2024) Les biofilms confèrent une protection contre la dessiccation(Parrilli et al., 2022) les antimicrobiens et les prédateurs (protistes)(Amy, 2021) et constituent des **points chauds de transfert horizontal de gènes**(Aminov, 2011) Ils sont également le siège de la production concertée de composés antimicrobiens impliqués dans la suppressivité du sol vis-à-vis des pathogènes telluriques(Backer et al., 2018)</w:t>
        <w:br/>
        <w:t>Le QS s'intègre dans un réseau plus large de **signaux inter-règnes** : composés organiques volatils microbiens (2,3-butanediol, indole) agissant comme hormones à distance(Weisskopf et al., 2021) modulation hormonale par production d'auxines/cytokinines bactériennes(Kudoyarova et al., 2019) et déclenchement de l'**Induced Systemic Resistance** (ISR) par les microbes bénéfiques(Yu et al., 2022) Le cycle de **rhizophagie**(White et al., 2018) illustre aussi ce continuum : les microbes internalisés dans l'espace périplasmique des cellules racinaires subissent une transformation en protoplastes et sont réexpulsés vers la rhizosphère.</w:t>
      </w:r>
    </w:p>
    <w:p>
      <w:r>
        <w:t>## 5. Spécificité hôte-microbe et dynamique temporelle</w:t>
        <w:br/>
        <w:t>La signalisation QS dans la rhizosphère est caractérisée par une spécificité hôte-endophyte marquée : l'efficacité d'un signal — et donc du recrutement qu'il induit — dépend fortement de l'espèce végétale hôte, de la souche microbienne et du génotype végétal(González &amp; Keshavan, 2006; Lyu &amp; Smith, 2022) Cette variabilité explique en partie pourquoi de nombreux stimulants microbiens ne sont pas facilement transposables du laboratoire au terrain. La température et le statut hydrique modulent également fortement ces communications chimiques(Sharma et al., 2024; Tan et al., 2021)</w:t>
        <w:br/>
        <w:t>Le **cycle fonctionnel endophytique** s'appuie sur ces signaux : des exsudats racinaires, des molécules de signalisation et une régulation hormonale coordonnée régulent l'entrée des endophytes dans les tissus végétaux(Collinge et al., 2019) et al., 2024) La colonisation se déroule par **vagues successives**, chacune recrutant des consortiums différents(Deveau et al., 2021)</w:t>
      </w:r>
    </w:p>
    <w:p>
      <w:r>
        <w:t>## 6. Implications agronomiques</w:t>
        <w:br/>
        <w:t>La compréhension du QS ouvre des leviers pour l'agriculture régénératrice :</w:t>
        <w:br/>
        <w:t>**Ingénierie de consortia microbiens** (SynCom) exploitant les signaux QS pour stabiliser des communautés fonctionnelles (Daniel et al., 2024)</w:t>
        <w:br/>
        <w:t>**Bio-intrants** formulés pour optimiser la colonisation racinaire via les signaux chimiotactiques (Amy, 2021)</w:t>
        <w:br/>
        <w:t>**Quorum quenching dirigé** comme stratégie anti-pathogène alternative aux pesticides (Jeyakumar et al., 2024)</w:t>
        <w:br/>
        <w:t>Sélection variétale intégrant la capacité d'exsudation de quorum quenchers(Amy, 2021; Pacheco-Moreno et al., 2024)</w:t>
        <w:br/>
        <w:t>Exploitation de la **signalisation volatile** (COV microbiens : 2,3-butanediol, indole) comme leviers indirects de modulation de la croissance et de l'immunité végétale (Weisskopf et al., 2021)</w:t>
      </w:r>
    </w:p>
    <w:p>
      <w:r>
        <w:t>## Enrichissements</w:t>
      </w:r>
    </w:p>
    <w:p>
      <w:r>
        <w:t>### 1. Diversification des signaux moléculaires</w:t>
        <w:br/>
        <w:t>Bien que votre document identifie les AHL et l'AI-2, il omet une classe de signaux de plus en plus étudiée dans la rhizosphère : les peptides autoinducteurs (AIPs)(Boban et al., 2023)</w:t>
        <w:br/>
        <w:t>Signaux d'acides gras : En plus des AHL, des molécules comme l'acide cis-2-dodécénoïque agissent comme des autoinducteurs régulant les activités physiologiques microbiennes (Feng, 2022)</w:t>
        <w:br/>
        <w:t>Complexité structurelle des AHL : La spécificité de la communication dépend de la longueur de la chaîne acyle, de son degré de saturation et des substitutions sur le troisième carbone, ce qui influence la reconnaissance du signal (Rosier &amp; Bais, 2022)</w:t>
      </w:r>
    </w:p>
    <w:p>
      <w:r>
        <w:t>### 2. Mécanismes de perception par la plante</w:t>
        <w:br/>
        <w:t>Les plantes "perçoivent" les signaux environnementaux par l'intermédiaire de mécanismes moléculaires spécifiques. La perception microbienne, par exemple, implique la détection de motifs moléculaires associés aux microbes (MAMPs/PAMPs), tels que les facteurs NOD ou les fragments de chitine, par des récepteurs spécifiques à la surface cellulaire, comme les récepteurs à reconnaissance de motifs (PRR) ou les récepteurs transmembranaires de type LysM-RLK(Gout et al., 2012; Marchat, 2015)</w:t>
        <w:br/>
        <w:t>Récepteurs spécifiques : La perception des AHL (comme le 3-oxo-C6-HL) par les plantes est médiée par des récepteurs couplés aux protéines G, spécifiquement GCR1 et GPA1 (Jalmi, 2020)</w:t>
        <w:br/>
        <w:t>Réponses induites : Cette perception déclenche des changements significatifs, notamment le remodelage du cytosquelette, la synthèse hormonale et la régulation des gènes de défense (Jalmi, 2020)</w:t>
      </w:r>
    </w:p>
    <w:p>
      <w:r>
        <w:t>### 3. Fonctions métaboliques avancées des biofilms</w:t>
        <w:br/>
        <w:t>La section sur les biofilms se concentre sur la protection, mais néglige leur supériorité métabolique par rapport aux formes planctoniques :</w:t>
        <w:br/>
        <w:t>Efficacité accrue : Les biofilms de rhizobactéries (ex. : Pseudomonas, Bacillus) présentent des taux de production d'ammoniac, d'auxine et une activité nitrogénase nettement supérieurs à ceux des cellules isolées (Backer et al., 2018)</w:t>
        <w:br/>
        <w:t>Accumulation de nutriments : La matrice de substances polymères extracellulaires agit comme un échangeur anionique et cationique, permettant de concentrer des nutriments même lorsqu'ils sont présents à de très faibles concentrations dans le sol (Parrilli et al., 2022)</w:t>
      </w:r>
    </w:p>
    <w:p>
      <w:r>
        <w:t>### 4. Nouvelles voies d'interférence</w:t>
        <w:br/>
        <w:t>Outre le GABA, d'autres molécules d'interférence méritent d'être présentées pour illustrer la complexité des défenses végétales :</w:t>
        <w:br/>
        <w:t>Gamma-hydroxybutyrate : Sous conditions de stress, Arabidopsis thaliana peut accumuler et exsuder du GHB, qui inhibe spécifiquement le quorum sensing d'Agrobacterium tumefaciens (Amy, 2021)</w:t>
        <w:br/>
        <w:t>Risques écologiques : L'application de stratégies de quorum quenching (enzymatique ou synthétique) présente un défi majeur : le risque d'effets hors-cible sur les communautés microbiennes bénéfiques de la rhizosphère (Jeyakumar et al., 2024)</w:t>
      </w:r>
    </w:p>
    <w:p>
      <w:r>
        <w:t>### 5. Influence des facteurs abiotiques sur le signal</w:t>
        <w:br/>
        <w:t>Le document évoque la dynamique temporelle, mais l'impact des variables environnementales sur la "fidélité" du signal est peu exploré :</w:t>
        <w:br/>
        <w:t>Température : Une hausse de température peut stimuler directement la production de signaux QS et d'enzymes de dégradation chez des pathogènes comme Pectobacterium atrosepticum, aggravant le développement des maladies (Sharma et al., 2024)</w:t>
        <w:br/>
        <w:t>Disponibilité en eau : Le stress hydrique entraîne la formation de conditions oligotrophes dans le sol (Tan et al., 2021)</w:t>
      </w:r>
    </w:p>
    <w:p>
      <w:r>
        <w:t>### 6. Lacunes méthodologiques et perspectives</w:t>
        <w:br/>
        <w:t>Pour renforcer la section sur les implications agronomiques, il est crucial de mentionner les verrous technologiques actuels :</w:t>
        <w:br/>
        <w:t>Besoin de validation : Il existe un manque de validation des molécules clés impliquées in situ. L'interprétation des communications chimiques nécessite désormais l'intégration de la multi-omique, de l'édition génomique et de l'intelligence artificielle pour améliorer la résolution des interactions (Li et al., 2025)</w:t>
        <w:br/>
        <w:t>Coût énergétique : Le déclenchement des processus régulés par le QS est coûteux en énergie pour les bactéries ; ces changements ne sont avantageux que lorsqu'une densité critique est atteinte, un aspect à considérer lors de la formulation de bio-intrants (Bello et al., 2020)</w:t>
        <w:br/>
        <w:t>References</w:t>
        <w:br/>
        <w:t>Ait-El-Mokhtar, M., &amp; Baslam, M. (2023). Holo-omic applications to unveil microbiome shaping sustainable horticultural production. Frontiers in Sustainable Food Systems, 7. https://doi.org/10.3389/fsufs.2023.1151367</w:t>
        <w:br/>
        <w:t>Alum, E. U., Gulumbe, B. H., Izah, S. C., Uti, D. E., Aja, P. M., Igwenyi, I. O., &amp; Offor, C. E. (2025). Natural product-based inhibitors of quorum sensing: A novel approach to combat antibiotic resistance. Biochemistry and Biophysics Reports, 43, 102111. https://doi.org/10.1016/j.bbrep.2025.102111</w:t>
        <w:br/>
        <w:t>Aminov, R. (2011). Horizontal Gene Exchange in Environmental Microbiota. Frontiers in Microbiology, 2. https://doi.org/10.3389/fmicb.2011.00158</w:t>
        <w:br/>
        <w:t>Amy, C. (2021). Optimizing nitrogen and phosphorus nutrition of rapeseed for a sustainable production through the utilization of biointrants, improving phytobiome functioning. HAL (Le Centre Pour La Communication Scientifique Directe). https://tel.archives-ouvertes.fr/tel-03609145</w:t>
        <w:br/>
        <w:t>Arndal, M. F. (2012). Root dynamics and below ground carbon input in a changing climate. Research Portal Denmark, 164. https://local.forskningsportal.dk/local/dki-cgi/ws/cris-link?src=ku&amp;id=ku-558b4d90-24a4-46b5-8200-45f2ac390d5c&amp;ti=Root%20dynamics%20and%20below%20ground%20carbon%20input%20in%20a%20changing%20climate</w:t>
        <w:br/>
        <w:t>Backer, R., Rokem, J. S., Ilangumaran, G., Lamont, J. R., Praslickova, D., Ricci, E., Subramanian, S., &amp; Smith, D. L. (2018). Plant Growth-Promoting Rhizobacteria: Context, Mechanisms of Action, and Roadmap to Commercialization of Biostimulants for Sustainable Agriculture [Review of Plant Growth-Promoting Rhizobacteria: Context, Mechanisms of Action, and Roadmap to Commercialization of Biostimulants for Sustainable Agriculture]. Frontiers in Plant Science, 9. Frontiers Media. https://doi.org/10.3389/fpls.2018.01473</w:t>
        <w:br/>
        <w:t>Bello, F. D., Zorzi, M., Aigotti, R., Medica, D., Fanelli, V., Cantaluppi, V., Amante, E., Orlandi, V. T., &amp; Medana, C. (2020). Targeted and untargeted quantification of quorum sensing signalling molecules in bacterial cultures and biological samples via HPLC-TQ MS techniques. Analytical and Bioanalytical Chemistry, 413(3), 853. https://doi.org/10.1007/s00216-020-03040-6</w:t>
        <w:br/>
        <w:t>Boban, T., Nadar, S., &amp; Tauro, S. (2023). Breaking down bacterial communication: a review of quorum quenching agents [Review of Breaking down bacterial communication: a review of quorum quenching agents]. Future Journal of Pharmaceutical Sciences, 9(1). Springer Science+Business Media. https://doi.org/10.1186/s43094-023-00526-9</w:t>
        <w:br/>
        <w:t>Cheng, W., &amp; Gershenson, A. (2007). Carbon Fluxes in the Rhizosphere. In Elsevier eBooks (p. 31). Elsevier BV. https://doi.org/10.1016/b978-012088775-0/50004-5</w:t>
        <w:br/>
        <w:t>Collinge, D. B., Jørgensen, H. J. L., Latz, M., Manzotti, A., Ntana, F., Rojas, E. C., Jensen, B., Hodkinson, T. R., Doohan, F. M., Saunders, M., &amp; Murphy, B. R. (2019). Searching for Novel Fungal Biological Control Agents for Plant Disease Control Among Endophytes. In Cambridge University Press eBooks (p. 25). Cambridge University Press. https://doi.org/10.1017/9781108607667.003</w:t>
        <w:br/>
        <w:t>Daniel, R., Huang, R., Kravchik, V., &amp; Geva‐Zatorsky, N. (2024). Engineering Coupled Consortia-Based Biosensors using Incoherent Feedforward Loops. Research Square (Research Square). https://doi.org/10.21203/rs.3.rs-4011356/v1</w:t>
        <w:br/>
        <w:t>Deveau, A., Fracchia, F., &amp; Veneault‐Fourrey, C. (2021). Le microbiote des racines de peuplier : dynamique, régulation et interactions. HAL (Le Centre Pour La Communication Scientifique Directe). https://hal.inrae.fr/hal-03460823</w:t>
        <w:br/>
        <w:t>Feng, Y. (2022). Interactions among Rhizosphere Microorganisms, Mechanisms and Potential Application in Phytoremediation. SHS Web of Conferences, 144, 1003. https://doi.org/10.1051/shsconf/202214401003</w:t>
        <w:br/>
        <w:t>González, J. E. G., &amp; Keshavan, N. D. (2006). Messing with Bacterial Quorum Sensing [Review of Messing with Bacterial Quorum Sensing]. Microbiology and Molecular Biology Reviews, 70(4), 859. American Society for Microbiology. https://doi.org/10.1128/mmbr.00002-06</w:t>
        <w:br/>
        <w:t>Gout, L., Ducasse, A., Walker, A. S. A. S., Gautier, A., Amselem, J., &amp; Neema, C. (2012). Structure des populations de Botrytis cinerea à l’échelle mondiale avec des marqueurs SNP neutres et sélectionnés. HAL (Le Centre Pour La Communication Scientifique Directe). https://hal.archives-ouvertes.fr/hal-01019381</w:t>
        <w:br/>
        <w:t>Jalmi, S. K. (2020). Rhizosphere signaling nurturing phyto-microbiome niche. Tropical Plant Research, 7(2), 522. https://doi.org/10.22271/tpr.2020.v7.i2.064</w:t>
        <w:br/>
        <w:t>Jeyakumar, S. P., Tamilvendan, K., Kumar, M. K. P., Reddy, Y. N., Earanna, N., &amp; Biplab, D. E. (2024). Stopping not till the rot rots: Quorum quenching as a biocontrol method for soft rot control in agriculture. Biocatalysis and Agricultural Biotechnology, 57, 103098. https://doi.org/10.1016/j.bcab.2024.103098</w:t>
        <w:br/>
        <w:t>Kanchiswamy, C. N., Malnoy, M., &amp; Maffei, M. E. (2015). Chemical diversity of microbial volatiles and their potential for plant growth and productivity [Review of Chemical diversity of microbial volatiles and their potential for plant growth and productivity]. Frontiers in Plant Science, 6. Frontiers Media. https://doi.org/10.3389/fpls.2015.00151</w:t>
        <w:br/>
        <w:t>Kudoyarova, G. R., Arkhipova, T., Korshunova, T., Бакаева, М. Д., Логинов, О. Н., &amp; Dodd, I. C. (2019). Phytohormone Mediation of Interactions Between Plants and Non-Symbiotic Growth Promoting Bacteria Under Edaphic Stresses [Review of Phytohormone Mediation of Interactions Between Plants and Non-Symbiotic Growth Promoting Bacteria Under Edaphic Stresses]. Frontiers in Plant Science, 10. Frontiers Media. https://doi.org/10.3389/fpls.2019.01368</w:t>
        <w:br/>
        <w:t>Kumar, G. A., Kumar, S., Bhardwaj, R., Swapnil, P., Meena, M., Seth, C. S., &amp; Yadav, A. (2024). Recent advancements in multifaceted roles of flavonoids in plant–rhizomicrobiome interactions. Frontiers in Plant Science, 14. https://doi.org/10.3389/fpls.2023.1297706</w:t>
        <w:br/>
        <w:t>Li, H., Hu, Y., Chen, S., Gafforov, Y., Wang, M., &amp; Liu, X. (2025). Harnessing chemical communication in plant–microbiome and intra-microbiome interactions. Journal of Zhejiang University SCIENCE B, 26(10), 923. https://doi.org/10.1631/jzus.b2500099</w:t>
        <w:br/>
        <w:t>Li, Q., Wu, Y., Wang, J., Yang, B., Chen, J., Wu, H., Zhang, Z., Lu, C., Lin, W., &amp; Wu, L. (2020). Linking Short-Chain N-Acyl Homoserine Lactone-Mediated Quorum Sensing and Replant Disease: A Case Study of Rehmannia glutinosa. Frontiers in Plant Science, 11. https://doi.org/10.3389/fpls.2020.00787</w:t>
        <w:br/>
        <w:t>Liu, H., Lu, X., Li, Z., Tian, C., &amp; Song, J. (2021). The role of root‐associated microbes in growth stimulation of plants under saline conditions. Land Degradation and Development, 32(13), 3471. https://doi.org/10.1002/ldr.3955</w:t>
        <w:br/>
        <w:t>Lurthy, T. (2020). Pisum sativum – Pseudomonas interactions : influence on iron nutrution, growth and immunity of the host plant. HAL (Le Centre Pour La Communication Scientifique Directe). https://theses.hal.science/tel-02885113</w:t>
        <w:br/>
        <w:t>Lyu, D., &amp; Smith, D. L. (2022). The root signals in rhizospheric inter-organismal communications [Review of The root signals in rhizospheric inter-organismal communications]. Frontiers in Plant Science, 13. Frontiers Media. https://doi.org/10.3389/fpls.2022.1064058</w:t>
        <w:br/>
        <w:t>Ma, L., Wang, W.-Q., Shi, R., Zhang, X., Li, X., Yang, Y.-S., &amp; Mo, M. H. (2021). Effects of organic acids on the chemotaxis profiles and biocontrol traits of antagonistic bacterial endophytes against root-rot disease in Panax notoginseng. Antonie van Leeuwenhoek, 114(11), 1771. https://doi.org/10.1007/s10482-021-01636-1</w:t>
        <w:br/>
        <w:t>Marchat, S. (2015). Caractérisation de la diffusion de la laminarine, polysaccharide inducteur de résistance contre le mildiou, dans des tissus foliaires de vigne. HAL (Le Centre Pour La Communication Scientifique Directe). https://hal.inrae.fr/hal-02793866</w:t>
        <w:br/>
        <w:t>Molefe, R. R., Amoo, A. E., &amp; Babalola, O. O. (2023). Communication between plant roots and the soil microbiome; involvement in plant growth and development. Symbiosis, 90(3), 231. https://doi.org/10.1007/s13199-023-00941-9</w:t>
        <w:br/>
        <w:t>Pacheco-Moreno, A., Bollmann‐Giolai, A., Chandra, G., Brett, P. J., Davies, J. N. P., Thornton, O. R., Poole, P. S., Ramachandran, V. K., Brown, J. K. M., Nicholson, P., Ridout, C., deVos, S., &amp; Malone, J. G. (2024). The genotype of barley cultivars influences multiple aspects of their associated microbiota via differential root exudate secretion. PLoS Biology, 22(4). https://doi.org/10.1371/journal.pbio.3002232</w:t>
        <w:br/>
        <w:t>Parrilli, E., Tutino, M. L., &amp; Marino, G. (2022). Biofilm as an adaptation strategy to extreme conditions. Rendiconti Lincei. Scienze Fisiche e Naturali, 33(3), 527. https://doi.org/10.1007/s12210-022-01083-8</w:t>
        <w:br/>
        <w:t>Rosier, A., &amp; Bais, H. P. (2022). Visualizing bacterial quorum sensing and quorum quenching interaction on Medicago roots. Research Square (Research Square). https://doi.org/10.21203/rs.3.rs-1742677/v1</w:t>
        <w:br/>
        <w:t>Saharan, B. S., Beniwal, N., &amp; Duhan, J. S. (2024). From formulation to function: A detailed review of microbial biofilms and their polymer-based extracellular substances. The Microbe, 5, 100194. https://doi.org/10.1016/j.microb.2024.100194</w:t>
        <w:br/>
        <w:t>Sena, L., Mica, E., Valè, G., Vaccino, P., &amp; Pecchioni, N. (2024). Exploring the potential of endophyte-plant interactions for improving crop sustainable yields in a changing climate. Frontiers in Plant Science, 15. https://doi.org/10.3389/fpls.2024.1349401</w:t>
        <w:br/>
        <w:t>Sharma, M., Saleh, D., Charron, J., &amp; Jabaji, S. (2020). A Crosstalk Between Brachypodium Root Exudates, Organic Acids, and Bacillus velezensis B26, a Growth Promoting Bacterium. Frontiers in Microbiology, 11. https://doi.org/10.3389/fmicb.2020.575578</w:t>
        <w:br/>
        <w:t>Sharma, V., Mohammed, S. A., Devi, N., Vats, G., Tuli, H. S., Saini, A. K., Walia, Y., Dhir, S., &amp; Singh, B. (2024). Unveiling the dynamic relationship of viruses and/or symbiotic bacteria with plant resilience in abiotic stress. Stress Biology, 4(1). https://doi.org/10.1007/s44154-023-00126-w</w:t>
        <w:br/>
        <w:t>Sibanyoni, N. R., Mmotla, K., Mashabela, M. D., Piater, L. A., Kerchev, P., &amp; Mhlongo, M. I. (2025). Chemical dialogues in the rhizosphere: Metabolomics perspectives on plant defence and microbial interactions. Plant and Soil, 518(1), 577. https://doi.org/10.1007/s11104-025-08010-4</w:t>
        <w:br/>
        <w:t>Song, C., Jin, K., &amp; Raaijmakers, J. M. (2021). Designing a home for beneficial plant microbiomes [Review of Designing a home for beneficial plant microbiomes]. Current Opinion in Plant Biology, 62, 102025. Elsevier BV. https://doi.org/10.1016/j.pbi.2021.102025</w:t>
        <w:br/>
        <w:t>Tan, B., Li, Y., Liu, T., Tan, X., He, Y., You, X., Leong, K. H., Liu, C., &amp; Li, L. (2021). Response of Plant Rhizosphere Microenvironment to Water Management in Soil- and Substrate-Based Controlled Environment Agriculture (CEA) Systems: A Review [Review of Response of Plant Rhizosphere Microenvironment to Water Management in Soil- and Substrate-Based Controlled Environment Agriculture (CEA) Systems: A Review]. Frontiers in Plant Science, 12. Frontiers Media. https://doi.org/10.3389/fpls.2021.691651</w:t>
        <w:br/>
        <w:t>Tariq, A., &amp; Ahmed, A. (2023). Bacterial Symbiotic Signaling in Modulating Plant-Rhizobacterial Interactions. In IntechOpen eBooks. IntechOpen. https://doi.org/10.5772/intechopen.109915</w:t>
        <w:br/>
        <w:t>Tarkowski, Ł. P., Signorelli, S., &amp; Höfte, M. (2020). γ‐Aminobutyric acid and related amino acids in plant immune responses: Emerging mechanisms of action [Review of γ‐Aminobutyric acid and related amino acids in plant immune responses: Emerging mechanisms of action]. Plant Cell &amp; Environment, 43(5), 1103. Wiley. https://doi.org/10.1111/pce.13734</w:t>
        <w:br/>
        <w:t>Violante, A., &amp; Caporale, A. G. (2015). Biogeochemical processes at soil-root interface. Journal of Soil Science and Plant Nutrition, 0. https://doi.org/10.4067/s0718-95162015005000038</w:t>
        <w:br/>
        <w:t>Weisskopf, L., Schulz, S., &amp; Garbeva, P. (2021). Microbial volatile organic compounds in intra-kingdom and inter-kingdom interactions [Review of Microbial volatile organic compounds in intra-kingdom and inter-kingdom interactions]. Nature Reviews Microbiology, 19(6), 391. Nature Portfolio. https://doi.org/10.1038/s41579-020-00508-1</w:t>
        <w:br/>
        <w:t>White, J. F., Kingsley, K. L., Verma, S., &amp; Kowalski, K. P. (2018). Rhizophagy Cycle: An Oxidative Process in Plants for Nutrient Extraction from Symbiotic Microbes. Microorganisms, 6(3), 95. https://doi.org/10.3390/microorganisms6030095</w:t>
        <w:br/>
        <w:t>Xavier, K. B. (2018). Bacterial interspecies quorum sensing in the mammalian gut microbiota [Review of Bacterial interspecies quorum sensing in the mammalian gut microbiota]. Comptes Rendus Biologies, 341(5), 297. Elsevier BV. https://doi.org/10.1016/j.crvi.2018.03.006</w:t>
        <w:br/>
        <w:t>Yu, Y., Gui, Y., Li, Z., Jiang, C., Guo, J.-H., &amp; Niu, D. (2022). Induced Systemic Resistance for Improving Plant Immunity by Beneficial Microbes. Plants, 11(3), 386. https://doi.org/10.3390/plants11030386</w:t>
        <w:br/>
        <w:t>Zhu, X., Chen, W., Bhatt, K., Zhou, Z., Huang, Y., Zhang, L., Chen, S., &amp; Wang, J. (2023). Innovative microbial disease biocontrol strategies mediated by quorum quenching and their multifaceted applications: A review [Review of Innovative microbial disease biocontrol strategies mediated by quorum quenching and their multifaceted applications: A review]. Frontiers in Plant Science, 13. Frontiers Media. https://doi.org/10.3389/fpls.2022.1063393</w:t>
      </w:r>
    </w:p>
    <w:p>
      <w:pPr>
        <w:jc w:val="center"/>
      </w:pPr>
      <w:r>
        <w:rPr>
          <w:color w:val="999999"/>
          <w:sz w:val="18"/>
        </w:rPr>
        <w:t>────────────────────────────────────────</w:t>
      </w:r>
    </w:p>
    <w:p>
      <w:pPr>
        <w:pStyle w:val="Heading1"/>
      </w:pPr>
      <w:r>
        <w:t>I. Communication plante-microbiome</w:t>
      </w:r>
    </w:p>
    <w:p>
      <w:pPr>
        <w:pStyle w:val="Heading2"/>
      </w:pPr>
      <w:r>
        <w:t>1.1 Les exsudats racinaires : composition et fonctions</w:t>
      </w:r>
    </w:p>
    <w:p>
      <w:r>
        <w:t>Les exsudats racinaires représentent 20-40% du carbone fixé par photosynthèse. Leur composition (sucres, acides organiques, acides aminés) recrute sélectivement les micro-organismes bénéfiques. Lien avec les grands cycles (les exsudats déclenchent la solubilisation biologique du phosphore).</w:t>
      </w:r>
    </w:p>
    <w:p>
      <w:r>
        <w:t>Cadre temps-profond trois piliers : organellogenèse + évolution racinaire + gatekeeping immunitaire. PTI (PRR → MAMPs/PAMPs) et ETI (NLR → effecteurs). Communication cross-règne via vésicules extracellulaires (EV) contenant sncRNA (H4 Shelake) — couche évolutive stabilisant les états bénéfiques. Bacterial EVs livrent dsRNA anti-virulence dans cellules fongiques (Niño-Sánchez 2025 : P. putida + B. subtilis vs V. dahliae). Mémoire transgénérationnelle via épigénétique héritable 2-3 générations (Luna 2012). M genes (microbiota-assembly) orchestrent le recrutement microbiome — érodés par la domestication, conservés dans les landraces (Van Deynze 2018, Barnes 2024).</w:t>
      </w:r>
    </w:p>
    <w:p/>
    <w:p>
      <w:r>
        <w:t>→ Les exsudats racinaires = 10-40% du carbone photosynthétique. La plante INVESTIT massivement pour recruter et nourrir son microbiome. Ce n'est pas une perte — c'est un salaire versé aux employés microbiens.</w:t>
        <w:br/>
        <w:t>→ Composition des exsudats : sucres simples (glucose, fructose = énergie pour copiotrophes), acides organiques (citrate, malate = solubilisation P et Fe), acides aminés (tryptophane = précurseur d'IAA bactérienne), mucilage (lubrification + biofilm).</w:t>
        <w:br/>
        <w:t>→ La composition change avec le stress : sous carence P, la plante augmente les acides organiques. Sous attaque pathogène, elle augmente les phytoalexines. Les exsudats sont un SIGNAL, pas seulement une nourriture.</w:t>
      </w:r>
    </w:p>
    <w:p>
      <w:pPr>
        <w:jc w:val="center"/>
      </w:pPr>
      <w:r>
        <w:rPr>
          <w:color w:val="999999"/>
          <w:sz w:val="18"/>
        </w:rPr>
        <w:t>────────────────────────────────────────</w:t>
      </w:r>
    </w:p>
    <w:p>
      <w:pPr>
        <w:pStyle w:val="Heading2"/>
      </w:pPr>
      <w:r>
        <w:t>1.2 Recrutement par chimiotactisme</w:t>
      </w:r>
    </w:p>
    <w:p>
      <w:r>
        <w:t>Le chimiotactisme permet aux bactéries de nager vers les exsudats racinaires. Ce recrutement actif façonne la rhizosphère comme un écosystème sélectionné par la plante. Lien avec l'agriculture de conservation (le recrutement microbien par chimiotactisme explique pourquoi la diversité des couverts améliore le microbiome).</w:t>
      </w:r>
    </w:p>
    <w:p/>
    <w:p>
      <w:r>
        <w:t>→ Le chimiotactisme = mouvement dirigé des bactéries vers les exsudats racinaires. Les PGPR « sentent » les acides organiques et le tryptophane à distance (gradient de concentration) et nagent vers la racine.</w:t>
        <w:br/>
        <w:t>→ La sélection est ACTIVE : la plante recrute spécifiquement les bactéries bénéfiques en émettant des signaux chimiques ciblés. Différentes espèces végétales recrutent des communautés microbiennes différentes — le microbiome est « sous commande ».</w:t>
        <w:br/>
        <w:t>→ Les strigolactones (signal mycorhizien conservé depuis 470 Ma) sont un cas particulier de chimiotactisme : la plante carencée en P émet des strigolactones → les CMA germent et colonisent → accès au P résolu.</w:t>
      </w:r>
    </w:p>
    <w:p>
      <w:pPr>
        <w:jc w:val="center"/>
      </w:pPr>
      <w:r>
        <w:rPr>
          <w:color w:val="999999"/>
          <w:sz w:val="18"/>
        </w:rPr>
        <w:t>────────────────────────────────────────</w:t>
      </w:r>
    </w:p>
    <w:p>
      <w:pPr>
        <w:pStyle w:val="Heading1"/>
      </w:pPr>
      <w:r>
        <w:t>II. Hormones et signaux</w:t>
      </w:r>
    </w:p>
    <w:p>
      <w:pPr>
        <w:pStyle w:val="Heading2"/>
      </w:pPr>
      <w:r>
        <w:t>2.1 L'holobionte : concept et implications</w:t>
      </w:r>
    </w:p>
    <w:p>
      <w:r>
        <w:t>L'holobionte est l'unité de sélection évolutive : plante + microbiome co-évoluent. Le génome étendu (gènes de la plante + gènes du microbiome) confère des capacités métaboliques impossibles pour la plante seule.</w:t>
      </w:r>
    </w:p>
    <w:p/>
    <w:p>
      <w:r>
        <w:t>→ L'organisme-microbiome = la plante + son microbiome considérés comme UN organisme. « Nous cultivons des organisme-microbiomes, pas des plantes. Un légume contient plus de cellules microbiennes que de cellules végétales. »</w:t>
        <w:br/>
        <w:t>→ L'hologénome (Zilber-Rosenberg &amp; Rosenberg 2008) = le génome de la plante + les génomes de tous ses micro-organismes associés. L'évolution agit sur l'organisme-microbiome entier — la sélection variétale DEVRAIT sélectionner des organisme-microbiomes, pas des plantes isolées.</w:t>
        <w:br/>
        <w:t>→ La sélection variétale moderne a CASSÉ l'organisme-microbiome : les variétés sélectionnées en sol stérile (substrat + engrais) ont perdu la capacité de recruter efficacement les PGPR et les CMA. L'antifragilité (Hamant) a été sacrifiée pour la performance.</w:t>
        <w:br/>
        <w:t>→ ENRICHISSEMENT NOTES (cadre Marschner — nutrition minérale) : Les nutriments mobiles (N, P, K, Mg) déclenchent des symptômes sur les feuilles ANCIENNES (translocation vers la croissance nouvelle). Les nutriments immobiles (Fe, Ca, B, Mn) frappent les feuilles JEUNES (pas de relocalisation possible). Cette dichotomie fondamentale guide le diagnostic visuel.</w:t>
        <w:br/>
        <w:t>→ Le microbiome comme « système digestif de la plante » : bactéries sécrétant des acides organiques pour solubiliser P/K/Si verrouillés, et production de sidérophores pour le Fe. Contourne le verrouillage chimique du sol.</w:t>
        <w:br/>
        <w:t>→ La « faim cachée » (hidden hunger) : les analyses de tissus/sève révèlent des carences AVANT les dommages visuels. Le microbiome fonctionnel est la première ligne de défense contre cette faim cachée.</w:t>
      </w:r>
    </w:p>
    <w:p>
      <w:pPr>
        <w:jc w:val="center"/>
      </w:pPr>
      <w:r>
        <w:rPr>
          <w:color w:val="999999"/>
          <w:sz w:val="18"/>
        </w:rPr>
        <w:t>────────────────────────────────────────</w:t>
      </w:r>
    </w:p>
    <w:p>
      <w:pPr>
        <w:pStyle w:val="Heading2"/>
      </w:pPr>
      <w:r>
        <w:t>2.2 Auxines, cytokinines et gibbérellines : production microbienne</w:t>
      </w:r>
    </w:p>
    <w:p>
      <w:r>
        <w:t>Les micro-organismes produisent des phytohormones (auxines, cytokinines, gibbérellines) qui stimulent la croissance racinaire et aérienne. L'ACC déaminase dégrade le précurseur de l'éthylène de stress.</w:t>
      </w:r>
    </w:p>
    <w:p/>
    <w:p>
      <w:r>
        <w:t>→ Les bactéries produisent les MÊMES phytohormones que les plantes : IAA (auxine, croissance racinaire), cytokinines (division cellulaire), gibbérellines (élongation). La plante et ses bactéries partagent un langage hormonal commun.</w:t>
        <w:br/>
        <w:t>→ La production bactérienne d'IAA (10-100 µg/mL) stimule la croissance racinaire → plus de surface racinaire → plus d'exsudats → plus de bactéries → plus d'IAA. C'est une BOUCLE de rétroaction positive qui s'auto-amplifie.</w:t>
        <w:br/>
        <w:t>→ L'ACC-désaminase bactérienne dégrade le précurseur de l'éthylène (hormone de stress). Les PGPR « calment » la plante stressée en abaissant son éthylène. C'est le mécanisme principal de l'efficacité des biostimulants sur sol dégradé.</w:t>
        <w:br/>
        <w:t>→ ENRICHISSEMENT NOTES (crosstalk éthylène/auxine/ABA) : L'éthylène agit comme MAÎTRE RHÉOSTAT physiologique, coordonnant auxine et ABA dans l'architecture racinaire. Dans un état amorcé (primed), la biosynthèse de l'éthylène (ACS/ACO) déclenche une redistribution LATÉRALE de l'auxine (via modification de la localisation des protéines PIN) — inhibe l'élongation primaire mais STIMULE poils racinaires et racines latérales = maximisation surface racinaire sous stress.</w:t>
        <w:br/>
        <w:t>→ Croisement antagoniste éthylène/ABA : l'éthylène empêche l'arrêt excessif par l'ABA, maintenant la plante « amorcée » (prête au stress sans sénescence prématurée). Ce crosstalk est modulé par le microbiome : les bactéries à ACC désaminase dégradent le précurseur d'éthylène (ACC), agissant comme tampon biologique contre la suraccumulation.</w:t>
        <w:br/>
        <w:t>→ ENRICHISSEMENT NOTES (cobalt/B12/diazotrophes — ANGLE MORT) : Le cobalt est ESSENTIEL pour la fixation biologique de l'azote via la cobalamine (vitamine B12), cofacteur de la nitrogénase. Liste des diazotrophes nécessitant Co : symbiotiques (Rhizobium, Bradyrhizobium, Frankia), associatifs (Azospirillum, Methylobacterium, Gluconacetobacter), libres (Azotobacter, Clostridium, Paenibacillus polymyxa), cyanobactéries (Anabaena, Rhodopseudomonas palustris).</w:t>
        <w:br/>
        <w:t>→ Règle de Bertrand : le Co est bénéfique à très faible dose, toxique à dose élevée. Interaction Co/Fe : l'excès de Co bloque l'absorption du fer.</w:t>
        <w:br/>
        <w:t>→ Sources naturelles de Co : basalte (plus riche que granite/calcaire), glauconite (greensand), kelp, hydrolysat de poisson lactofermenté (B12 hépatique). Protocole de biopriming : trempage semences dans solution Co/cobalamine + extrait de vermicompost.</w:t>
      </w:r>
    </w:p>
    <w:p>
      <w:pPr>
        <w:jc w:val="center"/>
      </w:pPr>
      <w:r>
        <w:rPr>
          <w:color w:val="999999"/>
          <w:sz w:val="18"/>
        </w:rPr>
        <w:t>────────────────────────────────────────</w:t>
      </w:r>
    </w:p>
    <w:p>
      <w:pPr>
        <w:pStyle w:val="Heading1"/>
      </w:pPr>
      <w:r>
        <w:t>III. Rhizophagie</w:t>
      </w:r>
    </w:p>
    <w:p>
      <w:pPr>
        <w:pStyle w:val="Heading2"/>
      </w:pPr>
      <w:r>
        <w:t>3.1 Mécanisme du cycle rhizophagique</w:t>
      </w:r>
    </w:p>
    <w:p>
      <w:r>
        <w:t>Le cycle rhizophagique : les racines internalisent les bactéries endophytes, les dégradent partiellement dans les cellules racinaires, récupèrent leurs nutriments (N, P, Fe), puis les réémettent sous forme de protoplastes qui se reforment en bactéries dans la rhizosphère. Lien avec la résistance antimicrobienne (le cycle de rhizophagie comme colonisation endophytique).</w:t>
      </w:r>
    </w:p>
    <w:p>
      <w:r>
        <w:t>Cry-for-help : les plantes sous stress modifient leur exsudation pour recruter des microbes protecteurs. Coumarines sous carence Fe → microbes Fe-mobilisateurs (Harbort 2020). Glutamine vasculaire = chémoattractant rhizobactéries (Tsai 2025). Apigénine riz → Gluconacetobacter N-fixateur (Yan 2022). Linalool maïs haute densité → plant-soil feedback durable (Guo 2025). Le microbiome = système immunitaire étendu de la plante, activement recruté. CSSP (Common Symbiosis Signaling Pathway) : voie signalétique conservée pour mycorhize+nodulation (LysM-RLK → SYMRK → CCaMK → NIN).</w:t>
      </w:r>
    </w:p>
    <w:p/>
    <w:p>
      <w:r>
        <w:t>→ Le cycle rhizophagique (White, Papadopoulos 2019) : la plante MANGE ses bactéries endophytiques. Les bactéries chargées en N/P pénètrent dans les cellules racinaires → la plante les digère → extrait les nutriments → recrache les bactéries survivantes REPROGRAMMÉES.</w:t>
        <w:br/>
        <w:t>→ Reprogrammation plasmidique : les bactéries recrachées ont des plasmides modifiés — la plante a commandé la production de métabolites spécifiques. Les bactéries rejetées sont des « employés formés » qui retournent dans la rhizosphère.</w:t>
        <w:br/>
        <w:t>→ Réponse bactérienne en 20 min vs heures pour la plante. Le microbiome est le système de réponse RAPIDE de l'organisme-microbiome. La plante pilote la stratégie, les bactéries exécutent.</w:t>
      </w:r>
    </w:p>
    <w:p>
      <w:pPr>
        <w:jc w:val="center"/>
      </w:pPr>
      <w:r>
        <w:rPr>
          <w:color w:val="999999"/>
          <w:sz w:val="18"/>
        </w:rPr>
        <w:t>────────────────────────────────────────</w:t>
      </w:r>
    </w:p>
    <w:p>
      <w:pPr>
        <w:pStyle w:val="Heading1"/>
      </w:pPr>
      <w:r>
        <w:t>IV. ISR et SAR</w:t>
      </w:r>
    </w:p>
    <w:p>
      <w:pPr>
        <w:pStyle w:val="Heading2"/>
      </w:pPr>
      <w:r>
        <w:t>4.1 ISR vs SAR : deux voies complémentaires</w:t>
      </w:r>
    </w:p>
    <w:p>
      <w:r>
        <w:t>Deux voies de résistance systémique : ISR (induite par les microbes bénéfiques, voie jasmonate/éthylène) et SAR (induite par les pathogènes, voie salicylique). Les deux confèrent une protection systémique à toute la plante. Lien avec la santé humaine (les polyphénols produits par ISR/SAR sont des nutriments protecteurs pour l'humain).</w:t>
      </w:r>
    </w:p>
    <w:p/>
    <w:p>
      <w:r>
        <w:t>→ L'ISR (Induced Systemic Resistance) est déclenchée par les PGPR racinaires et protège TOUTE la plante : feuilles, tiges, fruits. Elle induit la production de polyphénols, terpénoïdes, alcaloïdes — des composés de défense qui sont AUSSI des nutriments protecteurs pour l'humain.</w:t>
        <w:br/>
        <w:t>→ ISR vs SAR : l'ISR est induite par les bactéries bénéfiques (voie jasmonate/éthylène), la SAR par les pathogènes (voie salicylique). Les deux voies sont complémentaires mais partiellement antagonistes (trade-off jasmonate/salicylique).</w:t>
        <w:br/>
        <w:t>→ L'ISR comme alternative fonctionnelle aux fongicides : un sol riche en PGPR déclencheurs d'ISR réduit les maladies fongiques de 40-70% (méta-analyses). Moins de fongicides = moins de pression de sélection sur les résistances.</w:t>
        <w:br/>
        <w:t>→ ENRICHISSEMENT NOTES (MIST — Microbial-Induced Systemic Tolerance) : Au-delà de ISR et SAR, le concept MIST décrit la tolérance systémique induite par les microbes face aux stress ABIOTIQUES (salinité, sécheresse, chaleur). Trois axes mécanistiques : (1) Homéostasie ionique — modulation transporteurs HKT1, SOS1/NHX, production d'osmolytes (proline, glycine bétaïne). (2) Bouclier oxydatif — conductance stomatique, stabilité chlorophylle, enzymes SOD/APX/CAT. (3) Reprise de croissance — ACC désaminase (dégradation précurseur éthylène), IAA pour reconfiguration racinaire (PMC9712829).</w:t>
        <w:br/>
        <w:t>→ Les endophytes exercent 4 modes d'action simultanés : phytostimulation, biofertilisation, ISR/SAR/MIST, régulation phytohormonale. Impact sur rendement ET qualité/durée de conservation (DOI 10.3390/horticulturae8100910).</w:t>
        <w:br/>
        <w:t>→ Retour terrain sols salins : lignite/léonhardite + gypse + wollastonite micronisée + compost SPICE + vermicompost + xanthan gum 0.01%. Halophytes adaptées : orge, betterave sucrière, seigle.</w:t>
      </w:r>
    </w:p>
    <w:p>
      <w:pPr>
        <w:jc w:val="center"/>
      </w:pPr>
      <w:r>
        <w:rPr>
          <w:color w:val="999999"/>
          <w:sz w:val="18"/>
        </w:rPr>
        <w:t>────────────────────────────────────────</w:t>
      </w:r>
    </w:p>
    <w:p>
      <w:pPr>
        <w:pStyle w:val="Heading2"/>
      </w:pPr>
      <w:r>
        <w:t>4.2 Communication inter-règnes : miARN, volatils et signaux</w:t>
      </w:r>
    </w:p>
    <w:p>
      <w:r>
        <w:t>La communication inter-règnes utilise des signaux chimiques diversifiés : miARN, composés organiques volatils, métabolites fermentaires. Le quorum sensing bactérien est intercepté par les plantes.</w:t>
      </w:r>
    </w:p>
    <w:p/>
    <w:p>
      <w:r>
        <w:t>→ La communication inter-règnes : (1) miARN végétaux ingérés par les bactéries → modifient l'expression génique bactérienne (2) volatils bactériens perçus par la plante → modifient la croissance et la défense (3) quorum sensing bactérien → coordonne les biofilms.</w:t>
        <w:br/>
        <w:t>→ Le quorum sensing = les bactéries « comptent leurs effectifs » via des molécules signal (AHL). Quand la densité critique est atteinte, elles basculent en mode biofilm. La plante peut BROUILLER ces signaux (mimicry des AHL) pour empêcher les pathogènes de former des biofilms.</w:t>
        <w:br/>
        <w:t>→ Les composés organiques volatils (COV) bactériens (2,3-butanediol, acétoïne) traversent le sol gazeux et stimulent la croissance des plantes à distance. La communication sol-plante n'est pas que liquide — elle est aussi gazeuse.</w:t>
        <w:br/>
        <w:t>→ ENRICHISSEMENT NOTES (Nature Reviews Microbiology 2026, DOI 10.1038/s41579-026-01290-2) : Les extrêmes climatiques redistribuent les pressions pathogènes selon le « triangle des maladies végétales » (hôte-pathogène-environnement). Les 3 sommets sont affectés simultanément :</w:t>
        <w:br/>
        <w:t>→ Canicules &gt; 35°C : suppression de l'immunité enzymatique végétale (protéines de défense dénaturées). Sécheresses : réduction des microbes bénéfiques suppressifs dans la rhizosphère. Pluies torrentielles : dispersion des spores fongiques sur de longues distances. Inondations : activation de Pythium/Phytophthora (oomycètes favorisés par l'eau libre).</w:t>
        <w:br/>
        <w:t>→ La suppressivité microbienne est CLIMAT-DÉPENDANTE : un sol suppressif à 25°C peut perdre sa fonction protectrice à 40°C. Implication directe pour le choix des biostimulants et inoculants en contexte de changement climatique.</w:t>
      </w:r>
    </w:p>
    <w:p>
      <w:pPr>
        <w:jc w:val="center"/>
      </w:pPr>
      <w:r>
        <w:rPr>
          <w:color w:val="999999"/>
          <w:sz w:val="18"/>
        </w:rPr>
        <w:t>────────────────────────────────────────</w:t>
      </w:r>
    </w:p>
    <w:p>
      <w:pPr>
        <w:pStyle w:val="Heading1"/>
      </w:pPr>
      <w:r>
        <w:t>V. Trophobiose</w:t>
      </w:r>
    </w:p>
    <w:p>
      <w:pPr>
        <w:pStyle w:val="Heading2"/>
      </w:pPr>
      <w:r>
        <w:t>5.1 La trophobiose : plante saine sur sol vivant</w:t>
      </w:r>
    </w:p>
    <w:p>
      <w:r>
        <w:t>La loi de la trophobiose (Chaboussou) : une plante correctement nourrie par un sol vivant résiste naturellement aux ravageurs et maladies. L'excès d'azote soluble et les carences en oligo-éléments fragilisent la plante.</w:t>
      </w:r>
    </w:p>
    <w:p/>
    <w:p>
      <w:r>
        <w:t>→ La trophobiose (Chaboussou 1985) : une plante sur sol sain produit des protéines complètes (sève pauvre en acides aminés libres = peu attractive pour les ravageurs). Une plante sur sol dégradé accumule des acides aminés libres = festin pour pucerons et champignons.</w:t>
        <w:br/>
        <w:t>→ La trophobiose est le MÉCANISME qui explique pourquoi l'agriculture régénérative réduit les problèmes phytosanitaires : sol riche en PGPR → ISR activée → protéines complètes → moins de ravageurs → moins de pesticides.</w:t>
        <w:br/>
        <w:t>→ L'azote de synthèse (urée, ammonitrate) crée un excès d'acides aminés libres dans la sève = appel à ravageurs. L'azote biologique (fixation rhizobienne, minéralisation contrôlée) est métabolisé progressivement = protéines complètes. Le MODE d'apport d'azote change tout.</w:t>
        <w:br/>
        <w:t>→ ENRICHISSEMENT NOTES (diagnostic K/Mg/N par pH+EC sève foliaire) : Protocole de diagnostic différentiel par combinaison pH + EC + position foliaire. Les analyses de sol mesurent l'OFFRE ; les analyses de sève mesurent la FONCTION.</w:t>
        <w:br/>
        <w:t>→ Signatures diagnostiques : (1) Carence K = pH feuilles basses &gt; pH feuilles hautes (Δ ≥ 0.3-0.5), EC basse. K est mobile, transféré vers les jeunes feuilles, les anciennes perdent leur capacité tampon. (2) Carence Mg = chlorose interveinale sur feuilles médianes, pH élevé généralisé. Mg = cœur de la chlorophylle. (3) Excès N = pH feuilles hautes anormalement élevé, EC haute. Souvent confondu visuellement avec la carence K mais le pattern pH les sépare. (4) Carence N = pH et EC uniformément bas.</w:t>
        <w:br/>
        <w:t>→ Protocole terrain : échantillonner mi-matinée, feuille la plus jeune pleinement développée (haute) vs. feuille mature non sénescente (basse). Éviter sécheresse et post-fertigation.</w:t>
        <w:br/>
        <w:t>→ Le pH sève diverge AVANT les symptômes visuels (nécrose marginale K, chlorose Mg). Fenêtre d'action pour application foliaire corrective.</w:t>
      </w:r>
    </w:p>
    <w:p>
      <w:pPr>
        <w:jc w:val="center"/>
      </w:pPr>
      <w:r>
        <w:rPr>
          <w:color w:val="999999"/>
          <w:sz w:val="18"/>
        </w:rPr>
        <w:t>────────────────────────────────────────</w:t>
      </w:r>
    </w:p>
    <w:p>
      <w:pPr>
        <w:pStyle w:val="Heading1"/>
      </w:pPr>
      <w:r>
        <w:t>Conclusion</w:t>
      </w:r>
    </w:p>
    <w:p>
      <w:r>
        <w:t>Ce document couvre 8 sections organisées autour de 5 chapitres : I. Communication plante-microbiome, II. Hormones et signaux, III. Rhizophagie, IV. ISR et SAR et 1 autres. La conclusion doit synthétiser les mécanismes clés et ouvrir sur les perspectives pratiques ou scientifiques.</w:t>
      </w:r>
    </w:p>
    <w:p>
      <w:r>
        <w:rPr>
          <w:i/>
          <w:color w:val="707070"/>
        </w:rPr>
        <w:t>La plante ne vit pas seule. Synthétiser : les exsudats recrutent, les hormones stimulent, la rhizophagie nourrit, l'ISR/SAR protège, la trophobiose ferme la boucle. L'holobionte est plus résilient que la plante isolée.</w:t>
      </w:r>
    </w:p>
    <w:p>
      <w:r>
        <w:br w:type="page"/>
      </w:r>
    </w:p>
    <w:p>
      <w:pPr>
        <w:pStyle w:val="Heading1"/>
      </w:pPr>
      <w:r>
        <w:t>Annexes</w:t>
      </w:r>
    </w:p>
    <w:p>
      <w:pPr>
        <w:pStyle w:val="Heading2"/>
      </w:pPr>
      <w:r>
        <w:t>Renvois inter-documents (11)</w:t>
      </w:r>
    </w:p>
    <w:p>
      <w:r>
        <w:t>→ IV · Voir H1 §II : Les polyphénols produits par ISR/SAR comme nutriments protecteurs pour l'humain</w:t>
      </w:r>
    </w:p>
    <w:p>
      <w:r>
        <w:t>→ document · Voir H1 : ISR et densité nutritionnelle</w:t>
      </w:r>
    </w:p>
    <w:p>
      <w:r>
        <w:t>→ IV · Voir H2 §III : ISR/SAR comme alternative fonctionnelle aux fongicides réduisant la pression de sélection ARG</w:t>
      </w:r>
    </w:p>
    <w:p>
      <w:r>
        <w:t>→ document · Voir H2 : continuum holobionte plante → humain</w:t>
      </w:r>
    </w:p>
    <w:p>
      <w:r>
        <w:t>→ document · Voir H3 : Le cycle de rhizophagie (colonisation endophytique) est le mécanisme de transmission sol→plante→humain</w:t>
      </w:r>
    </w:p>
    <w:p>
      <w:r>
        <w:t>→ document · Voir P2 : Le recrutement microbien par chimiotactisme explique pourquoi la diversité des couverts ACS améliore le microbiome</w:t>
      </w:r>
    </w:p>
    <w:p>
      <w:r>
        <w:t>→ document · Voir P3 : Mécanismes hormonaux (ACC désaminase, IAA) et cycle de rhizophagie comme fondements de l'efficacité des biostimulants</w:t>
      </w:r>
    </w:p>
    <w:p>
      <w:r>
        <w:t>→ document · Voir S2 §IV : Fixation biologique de l'azote comme service rendu par le microbiome de l'holobionte</w:t>
      </w:r>
    </w:p>
    <w:p>
      <w:r>
        <w:t>→ II · Voir S3 §I : Strigolactones comme cas spécifique de SIREM pour le recrutement des CMA</w:t>
      </w:r>
    </w:p>
    <w:p>
      <w:r>
        <w:t>→ document · Voir S4 : Les exsudats racinaires déclenchent la solubilisation biologique du phosphore décrite dans S4</w:t>
      </w:r>
    </w:p>
    <w:p>
      <w:r>
        <w:t>→ document · Voir V3 §IV : Métabolites fermentaires comme signaux hormonaux pour l'holobionte</w:t>
      </w:r>
    </w:p>
    <w:p>
      <w:pPr>
        <w:pStyle w:val="Heading2"/>
      </w:pPr>
      <w:r>
        <w:t>Sources (20)</w:t>
      </w:r>
    </w:p>
    <w:p>
      <w:r>
        <w:rPr>
          <w:sz w:val="18"/>
        </w:rPr>
        <w:t>Ait-El-Mokhtar &amp; Baslam (2023).   [à pousser dans Zotero]</w:t>
      </w:r>
    </w:p>
    <w:p>
      <w:r>
        <w:rPr>
          <w:sz w:val="18"/>
        </w:rPr>
        <w:t>Aminov (2011).   [à pousser dans Zotero]</w:t>
      </w:r>
    </w:p>
    <w:p>
      <w:r>
        <w:rPr>
          <w:sz w:val="18"/>
        </w:rPr>
        <w:t>Amy (2021). Optimizing nitrogen and phosphorus nutrition of rapeseed for a sustainable production through the utilization of biointrants, improving phytobiome functioning — HAL (Le Centre pour la Communication Scientifique Directe) · https://tel.archives-ouvertes.fr/tel-03609145</w:t>
      </w:r>
    </w:p>
    <w:p>
      <w:r>
        <w:rPr>
          <w:sz w:val="18"/>
        </w:rPr>
        <w:t>Behie &amp; Bidochka (2013).   [à pousser dans Zotero]</w:t>
      </w:r>
    </w:p>
    <w:p>
      <w:r>
        <w:rPr>
          <w:sz w:val="18"/>
        </w:rPr>
        <w:t>Bernonville (2009).   [à pousser dans Zotero]</w:t>
      </w:r>
    </w:p>
    <w:p>
      <w:r>
        <w:rPr>
          <w:sz w:val="18"/>
        </w:rPr>
        <w:t>Fenibo &amp; Matambo (2025).   [à pousser dans Zotero]</w:t>
      </w:r>
    </w:p>
    <w:p>
      <w:r>
        <w:rPr>
          <w:sz w:val="18"/>
        </w:rPr>
        <w:t>Jalmi (2020).   [à pousser dans Zotero]</w:t>
      </w:r>
    </w:p>
    <w:p>
      <w:r>
        <w:rPr>
          <w:sz w:val="18"/>
        </w:rPr>
        <w:t>Kebede et al. (2022). EPF endophytic potential and larvicidal efficacy — maize — Psyche: A Journal of Entomology · DOI: 10.1155/2022/3879183  [à pousser dans Zotero]</w:t>
      </w:r>
    </w:p>
    <w:p>
      <w:r>
        <w:rPr>
          <w:sz w:val="18"/>
        </w:rPr>
        <w:t>Kumar (2024). Induced Systemic Resistance in Plants: Mechanisms and Agricultural Significance — Journal for Research in Applied Sciences and Biotechnology · DOI: 10.55544/jrasb.3.4.24</w:t>
      </w:r>
    </w:p>
    <w:p>
      <w:r>
        <w:rPr>
          <w:sz w:val="18"/>
        </w:rPr>
        <w:t>Lurthy (2020).   [à pousser dans Zotero]</w:t>
      </w:r>
    </w:p>
    <w:p>
      <w:r>
        <w:rPr>
          <w:sz w:val="18"/>
        </w:rPr>
        <w:t>Mwamburi (2021).   [à pousser dans Zotero]</w:t>
      </w:r>
    </w:p>
    <w:p>
      <w:r>
        <w:rPr>
          <w:sz w:val="18"/>
        </w:rPr>
        <w:t>Pommier (2019).   [à pousser dans Zotero]</w:t>
      </w:r>
    </w:p>
    <w:p>
      <w:r>
        <w:rPr>
          <w:sz w:val="18"/>
        </w:rPr>
        <w:t>Rochefort (2020). The Brassica napus seed microbiota : assemblage, transmission and contribution to plant response to a soilborne fungal pathogen — HAL (Le Centre pour la Communication Scientifique Directe) · https://tel.archives-ouvertes.fr/tel-03285677</w:t>
      </w:r>
    </w:p>
    <w:p>
      <w:r>
        <w:rPr>
          <w:sz w:val="18"/>
        </w:rPr>
        <w:t>Rosier &amp; Bais (2022).   [à pousser dans Zotero]</w:t>
      </w:r>
    </w:p>
    <w:p>
      <w:r>
        <w:rPr>
          <w:sz w:val="18"/>
        </w:rPr>
        <w:t>Sharma &amp; Kaur (2021). Soil Microbial Diversity and Metagenomics — Soil Nitrogen Ecology · DOI: 10.1007/978-3-030-71206-8_14</w:t>
      </w:r>
    </w:p>
    <w:p>
      <w:r>
        <w:rPr>
          <w:sz w:val="18"/>
        </w:rPr>
        <w:t>Taddei &amp; Fallot (2023). Collection of soil metaphors — HAL (Le Centre pour la Communication Scientifique Directe) · https://hal.science/hal-04124348</w:t>
      </w:r>
    </w:p>
    <w:p>
      <w:r>
        <w:rPr>
          <w:sz w:val="18"/>
        </w:rPr>
        <w:t>Touré (2018). Interactions between insects and entomopathogenic microorganisms to discover new insecticidal and antimicrobial compounds · https://tel.archives-ouvertes.fr/tel-02163933</w:t>
      </w:r>
    </w:p>
    <w:p>
      <w:r>
        <w:rPr>
          <w:sz w:val="18"/>
        </w:rPr>
        <w:t>Violante &amp; Caporale (2015).   [à pousser dans Zotero]</w:t>
      </w:r>
    </w:p>
    <w:p>
      <w:r>
        <w:rPr>
          <w:sz w:val="18"/>
        </w:rPr>
        <w:t>Wallis &amp; Sisterson (2024).   [à pousser dans Zotero]</w:t>
      </w:r>
    </w:p>
    <w:p>
      <w:r>
        <w:rPr>
          <w:sz w:val="18"/>
        </w:rPr>
        <w:t>Xavier (2018).   [à pousser dans Zotero]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