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Termes candidats à valider</w:t>
      </w:r>
    </w:p>
    <w:p>
      <w:r>
        <w:rPr>
          <w:i/>
          <w:sz w:val="20"/>
        </w:rPr>
        <w:t>Liste des termes détectés dans les docx des fiches intégrées qui ne sont pas encore dans la table `terms`. Source 'canonical' = détecté dans une liste 'Termes canoniques' en fin de docx. Source 'bold' = mis en gras dans le texte.</w:t>
        <w:br/>
        <w:t>Dans la colonne Décision, mettre : concept / glossaire / skip</w:t>
      </w:r>
    </w:p>
    <w:p>
      <w:pPr>
        <w:pStyle w:val="Heading1"/>
      </w:pPr>
      <w:r>
        <w:t>Fiche #1 — Les Champignons Entomopathogènes dans le Sol (39)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Terme FR</w:t>
            </w:r>
          </w:p>
        </w:tc>
        <w:tc>
          <w:tcPr>
            <w:tcW w:type="dxa" w:w="1728"/>
          </w:tcPr>
          <w:p>
            <w:r>
              <w:t>EN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Décision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Accès aux nutriments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Adaptation moléculaire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Amélioration racinaire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Application au sol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Apports organiques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Compatibilité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Compatibilité chimique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Coopération avec les PGPR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Distribution spatiale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Découverte d'espèces cryptiques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Délai d'action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Effet fongistatique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Espèces polyvalentes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Expansion constante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Fenêtres climatiques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Formulations huileuses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Hypocreales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Innocuité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Interaction avec les Mycorhizes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L'évolution des méthodes d'identification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Le "garde du corps" interne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Le cycle de l'azote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Microencapsulation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Microencapsulation et Nano-vecteurs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Modes d'action multiples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Niches spécifiques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Occupation de niche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Protection contre l'environnement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Réponse immunitaire induite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Solubilisation des minéraux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Solubilisation du phosphore et du fer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Surveillance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Température et pH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Traitement des semences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Transmission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Trempage des racines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Voies d'entrée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phylogénie multilocus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Émulsions de Pickering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Fiche #18 — Fixation Biologique de l'Azote — Le Modèle Brésilien (4)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Terme FR</w:t>
            </w:r>
          </w:p>
        </w:tc>
        <w:tc>
          <w:tcPr>
            <w:tcW w:type="dxa" w:w="1728"/>
          </w:tcPr>
          <w:p>
            <w:r>
              <w:t>EN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Décision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Autonomie 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Johanna Döbereiner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Performance Co-inoculation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co-inoculation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Fiche #22 — Quorum Sensing et Communication Chimique Rhizosphérique (17)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Terme FR</w:t>
            </w:r>
          </w:p>
        </w:tc>
        <w:tc>
          <w:tcPr>
            <w:tcW w:type="dxa" w:w="1728"/>
          </w:tcPr>
          <w:p>
            <w:r>
              <w:t>EN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Décision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Accumulation de nutriments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Besoin de validation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Complexité structurelle des AHL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Coût énergétique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Disponibilité en eau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Efficacité accrue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GCR1 et GPA1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Risques écologiques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Récepteurs spécifiques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Réponses induites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Température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ammoniac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auxine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cis-2-dodécénoïque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effets hors-cible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intelligence artificielle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multi-omique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Fiche #23 — Thermodynamique Redox des Sols (18)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Terme FR</w:t>
            </w:r>
          </w:p>
        </w:tc>
        <w:tc>
          <w:tcPr>
            <w:tcW w:type="dxa" w:w="1728"/>
          </w:tcPr>
          <w:p>
            <w:r>
              <w:t>EN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Décision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Artefacts de mesure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Bioremédiation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Disponibilité des nutriments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Fertilisation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Indice 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 Capacité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Le Pouvoir Tampon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Le concept de potentiel mixte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Le pH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Le rH2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Lien avec la MOS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Prédominance abiotique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Santé des plantes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Sensibilité aux Pathogènes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Sols sulfatés acides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intensité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quantité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rH2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Fiche #24 — AMR et Résistome du Sol (23)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Terme FR</w:t>
            </w:r>
          </w:p>
        </w:tc>
        <w:tc>
          <w:tcPr>
            <w:tcW w:type="dxa" w:w="1728"/>
          </w:tcPr>
          <w:p>
            <w:r>
              <w:t>EN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Décision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ARG à haut risque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Accumulation de surface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Biais de détection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Conclusion de la fiche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Distorsion sol vs eau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Hiérarchisation des risques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Impact du changement climatique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Le lien ARG-Hôte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Le paradoxe du ruissellement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Mesure corrective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Microplastiques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Polluants non-antibiotiques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Rang 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Rang II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Rangs III et IV (Risque Faible/Résistome Naturel)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Risque de transport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bandes enherbées (prairie strips)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eaux de ruissellement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hiérarchisation (ranking)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mobilité génétique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pathogénicité de l'hôte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pertinence clinique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plus chargées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