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D57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Definir un estándar de conteo</w:t>
            </w:r>
          </w:p>
        </w:tc>
        <w:tc>
          <w:tcPr>
            <w:tcW w:w="1418" w:type="dxa"/>
          </w:tcPr>
          <w:p w:rsidR="007D11BF" w:rsidRPr="009229F0" w:rsidRDefault="00972A6F" w:rsidP="00972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 ZRCA</w:t>
            </w:r>
          </w:p>
        </w:tc>
        <w:tc>
          <w:tcPr>
            <w:tcW w:w="1843" w:type="dxa"/>
          </w:tcPr>
          <w:p w:rsidR="007D11BF" w:rsidRPr="009229F0" w:rsidRDefault="00972A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972A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72A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D57E7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conteo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972A6F" w:rsidTr="0097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972A6F" w:rsidTr="00972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972A6F" w:rsidTr="00972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972A6F" w:rsidRDefault="00972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D57E76" w:rsidRDefault="00D57E76" w:rsidP="0074219D">
      <w:pPr>
        <w:ind w:firstLine="708"/>
        <w:rPr>
          <w:rFonts w:ascii="Arial Black" w:hAnsi="Arial Black"/>
          <w:color w:val="002060"/>
        </w:rPr>
      </w:pPr>
      <w:bookmarkStart w:id="1" w:name="_GoBack"/>
      <w:bookmarkEnd w:id="1"/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Tabladecuadrcula1clara-nfasis1"/>
        <w:tblpPr w:leftFromText="141" w:rightFromText="141" w:vertAnchor="text" w:horzAnchor="margin" w:tblpXSpec="center" w:tblpY="118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 w:rsidR="00BF28FF" w:rsidTr="00BF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 xml:space="preserve">Identificadores </w:t>
            </w:r>
          </w:p>
        </w:tc>
        <w:tc>
          <w:tcPr>
            <w:tcW w:w="7452" w:type="dxa"/>
            <w:hideMark/>
          </w:tcPr>
          <w:p w:rsidR="00BF28FF" w:rsidRPr="00BF28FF" w:rsidRDefault="00BF28FF" w:rsidP="00BF28FF">
            <w:pPr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>Use nombres descriptivos para todas las variables, nombres de funciones, constantes y otros identificadores. Evite las abreviaturas o las variables de una sola letra.</w:t>
            </w:r>
          </w:p>
        </w:tc>
      </w:tr>
      <w:tr w:rsidR="00BF28FF" w:rsidTr="00BF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>Ejemplos de Identificadores</w:t>
            </w:r>
          </w:p>
        </w:tc>
        <w:tc>
          <w:tcPr>
            <w:tcW w:w="7452" w:type="dxa"/>
          </w:tcPr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int Resta, Suma;   /* Esto es </w:t>
            </w: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int r</w:t>
            </w:r>
            <w:r>
              <w:rPr>
                <w:rFonts w:ascii="Arial" w:hAnsi="Arial" w:cs="Arial"/>
                <w:sz w:val="20"/>
                <w:szCs w:val="20"/>
              </w:rPr>
              <w:t>esta;         /* Esto es malo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str</w:t>
            </w:r>
            <w:r>
              <w:rPr>
                <w:rFonts w:ascii="Arial" w:hAnsi="Arial" w:cs="Arial"/>
                <w:sz w:val="20"/>
                <w:szCs w:val="20"/>
              </w:rPr>
              <w:t>ing nombre;     /* Esto es malo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>ring Nombre;     /* Esto es bueno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duble  N;          /* Esto es malo </w:t>
            </w:r>
          </w:p>
          <w:p w:rsidR="00BF28FF" w:rsidRPr="00BF28FF" w:rsidRDefault="00BF28FF" w:rsidP="00BF28FF">
            <w:pPr>
              <w:tabs>
                <w:tab w:val="left" w:pos="3586"/>
              </w:tabs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double n;          /* Esto es bueno</w:t>
            </w:r>
            <w:r w:rsidRPr="00BF28FF">
              <w:rPr>
                <w:rFonts w:ascii="Arial" w:hAnsi="Arial" w:cs="Arial"/>
                <w:sz w:val="20"/>
                <w:szCs w:val="20"/>
              </w:rPr>
              <w:tab/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</w:tr>
      <w:tr w:rsidR="00BF28FF" w:rsidTr="00BF28FF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>Espacios en blanco</w:t>
            </w:r>
          </w:p>
        </w:tc>
        <w:tc>
          <w:tcPr>
            <w:tcW w:w="7452" w:type="dxa"/>
            <w:hideMark/>
          </w:tcPr>
          <w:p w:rsidR="00BF28FF" w:rsidRPr="00BF28FF" w:rsidRDefault="00BF28FF" w:rsidP="00BF28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- Escribir programas con suficiente espacio para que no aparezcan llenos.</w:t>
            </w:r>
          </w:p>
          <w:p w:rsidR="00BF28FF" w:rsidRPr="00BF28FF" w:rsidRDefault="00BF28FF" w:rsidP="00BF28F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- Separa cada construcción de programa con al menos un espacio.</w:t>
            </w:r>
          </w:p>
        </w:tc>
      </w:tr>
      <w:tr w:rsidR="00BF28FF" w:rsidTr="00BF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>Indentacion</w:t>
            </w:r>
          </w:p>
        </w:tc>
        <w:tc>
          <w:tcPr>
            <w:tcW w:w="7452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Indentar cada nivel de corsé del anterior.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Las llaves de apertura y cierre deben estar en líneas por sí mismas y alineadas entre sí.</w:t>
            </w:r>
          </w:p>
        </w:tc>
      </w:tr>
      <w:tr w:rsidR="00BF28FF" w:rsidTr="00BF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 xml:space="preserve">Ejemplo de Indentacion </w:t>
            </w:r>
          </w:p>
        </w:tc>
        <w:tc>
          <w:tcPr>
            <w:tcW w:w="7452" w:type="dxa"/>
          </w:tcPr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 xml:space="preserve"> ((Linea = 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Br.readLine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 xml:space="preserve">()) != 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>) {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if ("".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equals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>(Linea)) {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LineasVacias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>++;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if (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Linea.equals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>("    //MT")) {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Metodos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>++;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BF28FF">
              <w:rPr>
                <w:rFonts w:ascii="Arial" w:hAnsi="Arial" w:cs="Arial"/>
                <w:sz w:val="20"/>
                <w:szCs w:val="20"/>
              </w:rPr>
              <w:t>LineasDato</w:t>
            </w:r>
            <w:proofErr w:type="spellEnd"/>
            <w:r w:rsidRPr="00BF28FF">
              <w:rPr>
                <w:rFonts w:ascii="Arial" w:hAnsi="Arial" w:cs="Arial"/>
                <w:sz w:val="20"/>
                <w:szCs w:val="20"/>
              </w:rPr>
              <w:t xml:space="preserve">++;   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</w:tr>
      <w:tr w:rsidR="00BF28FF" w:rsidTr="00BF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lastRenderedPageBreak/>
              <w:t>Capitalización</w:t>
            </w:r>
          </w:p>
        </w:tc>
        <w:tc>
          <w:tcPr>
            <w:tcW w:w="7452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Las minúsculas de todos los demás identificadores y palabras reservadas.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Los mensajes que se envían al usuario pueden combinarse para hacer una presentación limpia del mismo.</w:t>
            </w:r>
          </w:p>
        </w:tc>
      </w:tr>
      <w:tr w:rsidR="00BF28FF" w:rsidTr="00BF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rPr>
                <w:rFonts w:ascii="Arial Narrow" w:hAnsi="Arial Narrow" w:cs="Arial"/>
              </w:rPr>
            </w:pPr>
            <w:r w:rsidRPr="00BF28FF">
              <w:rPr>
                <w:rFonts w:ascii="Arial Narrow" w:hAnsi="Arial Narrow" w:cs="Arial"/>
              </w:rPr>
              <w:t xml:space="preserve">Ejemplo de Capitalización </w:t>
            </w:r>
          </w:p>
        </w:tc>
        <w:tc>
          <w:tcPr>
            <w:tcW w:w="7452" w:type="dxa"/>
            <w:hideMark/>
          </w:tcPr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Todas las variables deben estar en minúscula.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Los méto</w:t>
            </w:r>
            <w:r>
              <w:rPr>
                <w:rFonts w:ascii="Arial" w:hAnsi="Arial" w:cs="Arial"/>
                <w:sz w:val="20"/>
                <w:szCs w:val="20"/>
              </w:rPr>
              <w:t>dos empezaran con mayúscula y minúscula después</w:t>
            </w:r>
            <w:r w:rsidRPr="00BF28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F28FF" w:rsidRPr="00BF28FF" w:rsidRDefault="00E61637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BF28FF" w:rsidRPr="00BF28FF">
              <w:rPr>
                <w:rFonts w:ascii="Arial" w:hAnsi="Arial" w:cs="Arial"/>
                <w:sz w:val="20"/>
                <w:szCs w:val="20"/>
              </w:rPr>
              <w:t xml:space="preserve">os nombres de las clases deben ir con Mayúscula al inicio y después en minúscula. </w:t>
            </w:r>
          </w:p>
          <w:p w:rsidR="00BF28FF" w:rsidRPr="00BF28FF" w:rsidRDefault="00BF28FF" w:rsidP="00BF28FF">
            <w:pPr>
              <w:spacing w:before="40" w:after="4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BF28FF">
              <w:rPr>
                <w:rFonts w:ascii="Arial" w:hAnsi="Arial" w:cs="Arial"/>
                <w:sz w:val="20"/>
                <w:szCs w:val="20"/>
              </w:rPr>
              <w:t>Si solo se declara una variable con un carácter, debe estar en minúscula, pero no en mayúscula.</w:t>
            </w:r>
          </w:p>
        </w:tc>
      </w:tr>
    </w:tbl>
    <w:p w:rsidR="00BF28FF" w:rsidRPr="003C3A5F" w:rsidRDefault="00D57E76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A0" w:rsidRDefault="002075A0" w:rsidP="003F004F">
      <w:pPr>
        <w:spacing w:after="0" w:line="240" w:lineRule="auto"/>
      </w:pPr>
      <w:r>
        <w:separator/>
      </w:r>
    </w:p>
  </w:endnote>
  <w:endnote w:type="continuationSeparator" w:id="0">
    <w:p w:rsidR="002075A0" w:rsidRDefault="002075A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E61637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61637" w:rsidRPr="00E61637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A0" w:rsidRDefault="002075A0" w:rsidP="003F004F">
      <w:pPr>
        <w:spacing w:after="0" w:line="240" w:lineRule="auto"/>
      </w:pPr>
      <w:r>
        <w:separator/>
      </w:r>
    </w:p>
  </w:footnote>
  <w:footnote w:type="continuationSeparator" w:id="0">
    <w:p w:rsidR="002075A0" w:rsidRDefault="002075A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E61637" w:rsidP="00E61637">
    <w:pPr>
      <w:pStyle w:val="Encabezado"/>
      <w:tabs>
        <w:tab w:val="center" w:pos="4807"/>
        <w:tab w:val="right" w:pos="9615"/>
      </w:tabs>
      <w:rPr>
        <w:rFonts w:ascii="Arial Black" w:hAnsi="Arial Black" w:cs="Arial"/>
        <w:sz w:val="24"/>
      </w:rPr>
    </w:pPr>
    <w:r>
      <w:rPr>
        <w:rFonts w:ascii="Arial Black" w:hAnsi="Arial Black" w:cs="Arial"/>
        <w:sz w:val="32"/>
      </w:rPr>
      <w:tab/>
    </w:r>
    <w:r w:rsidR="00972A6F"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6219825</wp:posOffset>
          </wp:positionH>
          <wp:positionV relativeFrom="paragraph">
            <wp:posOffset>-363855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0033C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57E76">
      <w:rPr>
        <w:rFonts w:ascii="Arial Black" w:hAnsi="Arial Black" w:cs="Arial"/>
        <w:sz w:val="32"/>
      </w:rPr>
      <w:t>ESTANDAR DE CONTEO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075A0"/>
    <w:rsid w:val="002C4B84"/>
    <w:rsid w:val="00350C19"/>
    <w:rsid w:val="00351E10"/>
    <w:rsid w:val="003652B5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095A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72A6F"/>
    <w:rsid w:val="00986EEB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BF28FF"/>
    <w:rsid w:val="00C31A85"/>
    <w:rsid w:val="00C7698A"/>
    <w:rsid w:val="00C846E5"/>
    <w:rsid w:val="00C90F7E"/>
    <w:rsid w:val="00CE6D7B"/>
    <w:rsid w:val="00CF3D51"/>
    <w:rsid w:val="00D57E76"/>
    <w:rsid w:val="00DD4EDF"/>
    <w:rsid w:val="00E61637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1561-F241-4346-866F-2F300598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8</cp:revision>
  <cp:lastPrinted>2017-09-14T02:56:00Z</cp:lastPrinted>
  <dcterms:created xsi:type="dcterms:W3CDTF">2018-09-30T00:32:00Z</dcterms:created>
  <dcterms:modified xsi:type="dcterms:W3CDTF">2019-02-06T17:27:00Z</dcterms:modified>
</cp:coreProperties>
</file>