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41C17" w14:textId="3BB205B2" w:rsidR="009C2121" w:rsidRPr="00B4345B" w:rsidRDefault="009C2121">
      <w:pPr>
        <w:rPr>
          <w:b/>
          <w:bCs/>
        </w:rPr>
      </w:pPr>
      <w:r w:rsidRPr="00B4345B">
        <w:rPr>
          <w:b/>
          <w:bCs/>
        </w:rPr>
        <w:t>Potenziale der Zivilgesellschaft: Solidarisches Verhalten bei der Krisenbewältigung</w:t>
      </w:r>
    </w:p>
    <w:p w14:paraId="37914CDD" w14:textId="4A296B4B" w:rsidR="009C2121" w:rsidRPr="00B4345B" w:rsidRDefault="009C2121">
      <w:pPr>
        <w:rPr>
          <w:b/>
          <w:bCs/>
        </w:rPr>
      </w:pPr>
      <w:r w:rsidRPr="00B4345B">
        <w:rPr>
          <w:b/>
          <w:bCs/>
        </w:rPr>
        <w:t>Zeitplan</w:t>
      </w:r>
      <w:r w:rsidR="003948CD" w:rsidRPr="00B4345B">
        <w:rPr>
          <w:b/>
          <w:bCs/>
        </w:rPr>
        <w:t xml:space="preserve"> 2020</w:t>
      </w:r>
      <w:r w:rsidR="00B4345B">
        <w:rPr>
          <w:b/>
          <w:bCs/>
        </w:rPr>
        <w:t>, Budgeterläuterung &amp; zitierte Literatur</w:t>
      </w:r>
    </w:p>
    <w:tbl>
      <w:tblPr>
        <w:tblW w:w="13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20"/>
        <w:gridCol w:w="1380"/>
        <w:gridCol w:w="1311"/>
        <w:gridCol w:w="1620"/>
        <w:gridCol w:w="1412"/>
        <w:gridCol w:w="1620"/>
        <w:gridCol w:w="1404"/>
        <w:gridCol w:w="1693"/>
      </w:tblGrid>
      <w:tr w:rsidR="009C2121" w:rsidRPr="009C2121" w14:paraId="54690A5E" w14:textId="77777777" w:rsidTr="003948CD">
        <w:trPr>
          <w:trHeight w:val="280"/>
        </w:trPr>
        <w:tc>
          <w:tcPr>
            <w:tcW w:w="2920" w:type="dxa"/>
            <w:shd w:val="clear" w:color="auto" w:fill="auto"/>
            <w:hideMark/>
          </w:tcPr>
          <w:p w14:paraId="043B7086" w14:textId="77777777" w:rsidR="009C2121" w:rsidRPr="009C2121" w:rsidRDefault="009C2121" w:rsidP="009C2121">
            <w:pPr>
              <w:spacing w:after="0" w:line="240" w:lineRule="auto"/>
              <w:rPr>
                <w:rFonts w:ascii="Times New Roman" w:eastAsia="Times New Roman" w:hAnsi="Times New Roman" w:cs="Times New Roman"/>
                <w:sz w:val="20"/>
                <w:szCs w:val="20"/>
                <w:lang w:eastAsia="de-DE"/>
              </w:rPr>
            </w:pPr>
          </w:p>
        </w:tc>
        <w:tc>
          <w:tcPr>
            <w:tcW w:w="1380" w:type="dxa"/>
            <w:shd w:val="clear" w:color="auto" w:fill="auto"/>
            <w:hideMark/>
          </w:tcPr>
          <w:p w14:paraId="77588411" w14:textId="77777777" w:rsidR="009C2121" w:rsidRPr="009C2121" w:rsidRDefault="009C2121" w:rsidP="003948CD">
            <w:pPr>
              <w:spacing w:after="0" w:line="240" w:lineRule="auto"/>
              <w:jc w:val="center"/>
              <w:rPr>
                <w:rFonts w:ascii="Arial" w:eastAsia="Times New Roman" w:hAnsi="Arial" w:cs="Arial"/>
                <w:color w:val="000000"/>
                <w:sz w:val="20"/>
                <w:szCs w:val="20"/>
                <w:lang w:eastAsia="de-DE"/>
              </w:rPr>
            </w:pPr>
            <w:r w:rsidRPr="009C2121">
              <w:rPr>
                <w:rFonts w:ascii="Arial" w:eastAsia="Times New Roman" w:hAnsi="Arial" w:cs="Arial"/>
                <w:color w:val="000000"/>
                <w:sz w:val="20"/>
                <w:szCs w:val="20"/>
                <w:lang w:eastAsia="de-DE"/>
              </w:rPr>
              <w:t>Juni</w:t>
            </w:r>
          </w:p>
        </w:tc>
        <w:tc>
          <w:tcPr>
            <w:tcW w:w="1311" w:type="dxa"/>
            <w:shd w:val="clear" w:color="auto" w:fill="auto"/>
            <w:hideMark/>
          </w:tcPr>
          <w:p w14:paraId="19CF73A5" w14:textId="77777777" w:rsidR="009C2121" w:rsidRPr="009C2121" w:rsidRDefault="009C2121" w:rsidP="003948CD">
            <w:pPr>
              <w:spacing w:after="0" w:line="240" w:lineRule="auto"/>
              <w:jc w:val="center"/>
              <w:rPr>
                <w:rFonts w:ascii="Arial" w:eastAsia="Times New Roman" w:hAnsi="Arial" w:cs="Arial"/>
                <w:color w:val="000000"/>
                <w:sz w:val="20"/>
                <w:szCs w:val="20"/>
                <w:lang w:eastAsia="de-DE"/>
              </w:rPr>
            </w:pPr>
            <w:r w:rsidRPr="009C2121">
              <w:rPr>
                <w:rFonts w:ascii="Arial" w:eastAsia="Times New Roman" w:hAnsi="Arial" w:cs="Arial"/>
                <w:color w:val="000000"/>
                <w:sz w:val="20"/>
                <w:szCs w:val="20"/>
                <w:lang w:eastAsia="de-DE"/>
              </w:rPr>
              <w:t>Juli</w:t>
            </w:r>
          </w:p>
        </w:tc>
        <w:tc>
          <w:tcPr>
            <w:tcW w:w="1620" w:type="dxa"/>
            <w:shd w:val="clear" w:color="auto" w:fill="auto"/>
            <w:hideMark/>
          </w:tcPr>
          <w:p w14:paraId="469430F8" w14:textId="77777777" w:rsidR="009C2121" w:rsidRPr="009C2121" w:rsidRDefault="009C2121" w:rsidP="003948CD">
            <w:pPr>
              <w:spacing w:after="0" w:line="240" w:lineRule="auto"/>
              <w:jc w:val="center"/>
              <w:rPr>
                <w:rFonts w:ascii="Arial" w:eastAsia="Times New Roman" w:hAnsi="Arial" w:cs="Arial"/>
                <w:color w:val="000000"/>
                <w:sz w:val="20"/>
                <w:szCs w:val="20"/>
                <w:lang w:eastAsia="de-DE"/>
              </w:rPr>
            </w:pPr>
            <w:r w:rsidRPr="009C2121">
              <w:rPr>
                <w:rFonts w:ascii="Arial" w:eastAsia="Times New Roman" w:hAnsi="Arial" w:cs="Arial"/>
                <w:color w:val="000000"/>
                <w:sz w:val="20"/>
                <w:szCs w:val="20"/>
                <w:lang w:eastAsia="de-DE"/>
              </w:rPr>
              <w:t>August</w:t>
            </w:r>
          </w:p>
        </w:tc>
        <w:tc>
          <w:tcPr>
            <w:tcW w:w="1412" w:type="dxa"/>
            <w:shd w:val="clear" w:color="auto" w:fill="auto"/>
            <w:hideMark/>
          </w:tcPr>
          <w:p w14:paraId="3E27847E" w14:textId="77777777" w:rsidR="009C2121" w:rsidRPr="009C2121" w:rsidRDefault="009C2121" w:rsidP="003948CD">
            <w:pPr>
              <w:spacing w:after="0" w:line="240" w:lineRule="auto"/>
              <w:jc w:val="center"/>
              <w:rPr>
                <w:rFonts w:ascii="Arial" w:eastAsia="Times New Roman" w:hAnsi="Arial" w:cs="Arial"/>
                <w:color w:val="000000"/>
                <w:sz w:val="20"/>
                <w:szCs w:val="20"/>
                <w:lang w:eastAsia="de-DE"/>
              </w:rPr>
            </w:pPr>
            <w:r w:rsidRPr="009C2121">
              <w:rPr>
                <w:rFonts w:ascii="Arial" w:eastAsia="Times New Roman" w:hAnsi="Arial" w:cs="Arial"/>
                <w:color w:val="000000"/>
                <w:sz w:val="20"/>
                <w:szCs w:val="20"/>
                <w:lang w:eastAsia="de-DE"/>
              </w:rPr>
              <w:t>September</w:t>
            </w:r>
          </w:p>
        </w:tc>
        <w:tc>
          <w:tcPr>
            <w:tcW w:w="1620" w:type="dxa"/>
            <w:shd w:val="clear" w:color="auto" w:fill="auto"/>
            <w:hideMark/>
          </w:tcPr>
          <w:p w14:paraId="0D12ACEB" w14:textId="77777777" w:rsidR="009C2121" w:rsidRPr="009C2121" w:rsidRDefault="009C2121" w:rsidP="003948CD">
            <w:pPr>
              <w:spacing w:after="0" w:line="240" w:lineRule="auto"/>
              <w:jc w:val="center"/>
              <w:rPr>
                <w:rFonts w:ascii="Arial" w:eastAsia="Times New Roman" w:hAnsi="Arial" w:cs="Arial"/>
                <w:color w:val="000000"/>
                <w:sz w:val="20"/>
                <w:szCs w:val="20"/>
                <w:lang w:eastAsia="de-DE"/>
              </w:rPr>
            </w:pPr>
            <w:r w:rsidRPr="009C2121">
              <w:rPr>
                <w:rFonts w:ascii="Arial" w:eastAsia="Times New Roman" w:hAnsi="Arial" w:cs="Arial"/>
                <w:color w:val="000000"/>
                <w:sz w:val="20"/>
                <w:szCs w:val="20"/>
                <w:lang w:eastAsia="de-DE"/>
              </w:rPr>
              <w:t>Oktober</w:t>
            </w:r>
          </w:p>
        </w:tc>
        <w:tc>
          <w:tcPr>
            <w:tcW w:w="1404" w:type="dxa"/>
            <w:shd w:val="clear" w:color="auto" w:fill="auto"/>
            <w:hideMark/>
          </w:tcPr>
          <w:p w14:paraId="2080705D" w14:textId="77777777" w:rsidR="009C2121" w:rsidRPr="009C2121" w:rsidRDefault="009C2121" w:rsidP="003948CD">
            <w:pPr>
              <w:spacing w:after="0" w:line="240" w:lineRule="auto"/>
              <w:jc w:val="center"/>
              <w:rPr>
                <w:rFonts w:ascii="Arial" w:eastAsia="Times New Roman" w:hAnsi="Arial" w:cs="Arial"/>
                <w:color w:val="000000"/>
                <w:sz w:val="20"/>
                <w:szCs w:val="20"/>
                <w:lang w:eastAsia="de-DE"/>
              </w:rPr>
            </w:pPr>
            <w:r w:rsidRPr="009C2121">
              <w:rPr>
                <w:rFonts w:ascii="Arial" w:eastAsia="Times New Roman" w:hAnsi="Arial" w:cs="Arial"/>
                <w:color w:val="000000"/>
                <w:sz w:val="20"/>
                <w:szCs w:val="20"/>
                <w:lang w:eastAsia="de-DE"/>
              </w:rPr>
              <w:t>November</w:t>
            </w:r>
          </w:p>
        </w:tc>
        <w:tc>
          <w:tcPr>
            <w:tcW w:w="1693" w:type="dxa"/>
            <w:shd w:val="clear" w:color="auto" w:fill="auto"/>
            <w:hideMark/>
          </w:tcPr>
          <w:p w14:paraId="7A637414" w14:textId="77777777" w:rsidR="009C2121" w:rsidRPr="009C2121" w:rsidRDefault="009C2121" w:rsidP="003948CD">
            <w:pPr>
              <w:spacing w:after="0" w:line="240" w:lineRule="auto"/>
              <w:jc w:val="center"/>
              <w:rPr>
                <w:rFonts w:ascii="Arial" w:eastAsia="Times New Roman" w:hAnsi="Arial" w:cs="Arial"/>
                <w:color w:val="000000"/>
                <w:sz w:val="20"/>
                <w:szCs w:val="20"/>
                <w:lang w:eastAsia="de-DE"/>
              </w:rPr>
            </w:pPr>
            <w:r w:rsidRPr="009C2121">
              <w:rPr>
                <w:rFonts w:ascii="Arial" w:eastAsia="Times New Roman" w:hAnsi="Arial" w:cs="Arial"/>
                <w:color w:val="000000"/>
                <w:sz w:val="20"/>
                <w:szCs w:val="20"/>
                <w:lang w:eastAsia="de-DE"/>
              </w:rPr>
              <w:t>Dezember</w:t>
            </w:r>
          </w:p>
        </w:tc>
      </w:tr>
      <w:tr w:rsidR="009C2121" w:rsidRPr="009C2121" w14:paraId="3E0B5302" w14:textId="77777777" w:rsidTr="003948CD">
        <w:trPr>
          <w:trHeight w:val="567"/>
        </w:trPr>
        <w:tc>
          <w:tcPr>
            <w:tcW w:w="2920" w:type="dxa"/>
            <w:shd w:val="clear" w:color="auto" w:fill="auto"/>
            <w:vAlign w:val="center"/>
            <w:hideMark/>
          </w:tcPr>
          <w:p w14:paraId="5CBF8F97" w14:textId="522F283F" w:rsidR="009C2121" w:rsidRPr="009C2121" w:rsidRDefault="009C2121" w:rsidP="003948CD">
            <w:pPr>
              <w:spacing w:after="0" w:line="240" w:lineRule="auto"/>
              <w:rPr>
                <w:rFonts w:ascii="Arial" w:eastAsia="Times New Roman" w:hAnsi="Arial" w:cs="Arial"/>
                <w:color w:val="000000"/>
                <w:sz w:val="20"/>
                <w:szCs w:val="20"/>
                <w:lang w:eastAsia="de-DE"/>
              </w:rPr>
            </w:pPr>
            <w:r w:rsidRPr="009C2121">
              <w:rPr>
                <w:rFonts w:ascii="Arial" w:eastAsia="Times New Roman" w:hAnsi="Arial" w:cs="Arial"/>
                <w:color w:val="000000"/>
                <w:sz w:val="20"/>
                <w:szCs w:val="20"/>
                <w:lang w:eastAsia="de-DE"/>
              </w:rPr>
              <w:t>WP1 Erhebung Individuen</w:t>
            </w:r>
            <w:r w:rsidRPr="009C2121">
              <w:rPr>
                <w:rFonts w:ascii="Arial" w:eastAsia="Times New Roman" w:hAnsi="Arial" w:cs="Arial"/>
                <w:color w:val="000000"/>
                <w:sz w:val="20"/>
                <w:szCs w:val="20"/>
                <w:lang w:eastAsia="de-DE"/>
              </w:rPr>
              <w:br/>
              <w:t>(alle PIs)</w:t>
            </w:r>
          </w:p>
        </w:tc>
        <w:tc>
          <w:tcPr>
            <w:tcW w:w="2691" w:type="dxa"/>
            <w:gridSpan w:val="2"/>
            <w:shd w:val="clear" w:color="000000" w:fill="D9D9D9"/>
            <w:vAlign w:val="center"/>
            <w:hideMark/>
          </w:tcPr>
          <w:p w14:paraId="2AFBB905" w14:textId="3E3C6769" w:rsidR="009C2121" w:rsidRPr="009C2121" w:rsidRDefault="009C2121" w:rsidP="003948CD">
            <w:pPr>
              <w:spacing w:after="0" w:line="240" w:lineRule="auto"/>
              <w:jc w:val="center"/>
              <w:rPr>
                <w:rFonts w:ascii="Arial" w:eastAsia="Times New Roman" w:hAnsi="Arial" w:cs="Arial"/>
                <w:color w:val="000000"/>
                <w:sz w:val="20"/>
                <w:szCs w:val="20"/>
                <w:lang w:val="en-US" w:eastAsia="de-DE"/>
              </w:rPr>
            </w:pPr>
            <w:proofErr w:type="spellStart"/>
            <w:r w:rsidRPr="009C2121">
              <w:rPr>
                <w:rFonts w:ascii="Arial" w:eastAsia="Times New Roman" w:hAnsi="Arial" w:cs="Arial"/>
                <w:color w:val="000000"/>
                <w:sz w:val="20"/>
                <w:szCs w:val="20"/>
                <w:lang w:val="en-US" w:eastAsia="de-DE"/>
              </w:rPr>
              <w:t>Umfrage</w:t>
            </w:r>
            <w:proofErr w:type="spellEnd"/>
            <w:r>
              <w:rPr>
                <w:rFonts w:ascii="Arial" w:eastAsia="Times New Roman" w:hAnsi="Arial" w:cs="Arial"/>
                <w:color w:val="000000"/>
                <w:sz w:val="20"/>
                <w:szCs w:val="20"/>
                <w:lang w:val="en-US" w:eastAsia="de-DE"/>
              </w:rPr>
              <w:br/>
            </w:r>
            <w:proofErr w:type="spellStart"/>
            <w:r w:rsidRPr="009C2121">
              <w:rPr>
                <w:rFonts w:ascii="Arial" w:eastAsia="Times New Roman" w:hAnsi="Arial" w:cs="Arial"/>
                <w:color w:val="000000"/>
                <w:sz w:val="20"/>
                <w:szCs w:val="20"/>
                <w:lang w:val="en-US" w:eastAsia="de-DE"/>
              </w:rPr>
              <w:t>Welle</w:t>
            </w:r>
            <w:proofErr w:type="spellEnd"/>
            <w:r w:rsidRPr="009C2121">
              <w:rPr>
                <w:rFonts w:ascii="Arial" w:eastAsia="Times New Roman" w:hAnsi="Arial" w:cs="Arial"/>
                <w:color w:val="000000"/>
                <w:sz w:val="20"/>
                <w:szCs w:val="20"/>
                <w:lang w:val="en-US" w:eastAsia="de-DE"/>
              </w:rPr>
              <w:t xml:space="preserve"> 1 (D &amp; 4 Länder)</w:t>
            </w:r>
          </w:p>
        </w:tc>
        <w:tc>
          <w:tcPr>
            <w:tcW w:w="1620" w:type="dxa"/>
            <w:shd w:val="clear" w:color="auto" w:fill="auto"/>
            <w:vAlign w:val="center"/>
            <w:hideMark/>
          </w:tcPr>
          <w:p w14:paraId="15F5B70E" w14:textId="77777777" w:rsidR="009C2121" w:rsidRPr="009C2121" w:rsidRDefault="009C2121" w:rsidP="003948CD">
            <w:pPr>
              <w:spacing w:after="0" w:line="240" w:lineRule="auto"/>
              <w:jc w:val="center"/>
              <w:rPr>
                <w:rFonts w:ascii="Arial" w:eastAsia="Times New Roman" w:hAnsi="Arial" w:cs="Arial"/>
                <w:color w:val="000000"/>
                <w:sz w:val="20"/>
                <w:szCs w:val="20"/>
                <w:lang w:val="en-US" w:eastAsia="de-DE"/>
              </w:rPr>
            </w:pPr>
          </w:p>
        </w:tc>
        <w:tc>
          <w:tcPr>
            <w:tcW w:w="1412" w:type="dxa"/>
            <w:shd w:val="clear" w:color="auto" w:fill="auto"/>
            <w:vAlign w:val="center"/>
            <w:hideMark/>
          </w:tcPr>
          <w:p w14:paraId="0E7C5D72" w14:textId="77777777" w:rsidR="009C2121" w:rsidRPr="009C2121" w:rsidRDefault="009C2121" w:rsidP="003948CD">
            <w:pPr>
              <w:spacing w:after="0" w:line="240" w:lineRule="auto"/>
              <w:jc w:val="center"/>
              <w:rPr>
                <w:rFonts w:ascii="Times New Roman" w:eastAsia="Times New Roman" w:hAnsi="Times New Roman" w:cs="Times New Roman"/>
                <w:sz w:val="20"/>
                <w:szCs w:val="20"/>
                <w:lang w:val="en-US" w:eastAsia="de-DE"/>
              </w:rPr>
            </w:pPr>
          </w:p>
        </w:tc>
        <w:tc>
          <w:tcPr>
            <w:tcW w:w="1620" w:type="dxa"/>
            <w:shd w:val="clear" w:color="000000" w:fill="D9D9D9"/>
            <w:vAlign w:val="center"/>
            <w:hideMark/>
          </w:tcPr>
          <w:p w14:paraId="0559CB42" w14:textId="09D9DED2" w:rsidR="009C2121" w:rsidRDefault="009C2121" w:rsidP="003948CD">
            <w:pPr>
              <w:spacing w:after="0" w:line="240" w:lineRule="auto"/>
              <w:jc w:val="center"/>
              <w:rPr>
                <w:rFonts w:ascii="Arial" w:eastAsia="Times New Roman" w:hAnsi="Arial" w:cs="Arial"/>
                <w:color w:val="000000"/>
                <w:sz w:val="20"/>
                <w:szCs w:val="20"/>
                <w:lang w:eastAsia="de-DE"/>
              </w:rPr>
            </w:pPr>
            <w:r w:rsidRPr="009C2121">
              <w:rPr>
                <w:rFonts w:ascii="Arial" w:eastAsia="Times New Roman" w:hAnsi="Arial" w:cs="Arial"/>
                <w:color w:val="000000"/>
                <w:sz w:val="20"/>
                <w:szCs w:val="20"/>
                <w:lang w:eastAsia="de-DE"/>
              </w:rPr>
              <w:t>Umfrage</w:t>
            </w:r>
          </w:p>
          <w:p w14:paraId="54198B38" w14:textId="3CB4F64D" w:rsidR="009C2121" w:rsidRPr="009C2121" w:rsidRDefault="009C2121" w:rsidP="003948CD">
            <w:pPr>
              <w:spacing w:after="0" w:line="240" w:lineRule="auto"/>
              <w:jc w:val="center"/>
              <w:rPr>
                <w:rFonts w:ascii="Arial" w:eastAsia="Times New Roman" w:hAnsi="Arial" w:cs="Arial"/>
                <w:color w:val="000000"/>
                <w:sz w:val="20"/>
                <w:szCs w:val="20"/>
                <w:lang w:eastAsia="de-DE"/>
              </w:rPr>
            </w:pPr>
            <w:r w:rsidRPr="009C2121">
              <w:rPr>
                <w:rFonts w:ascii="Arial" w:eastAsia="Times New Roman" w:hAnsi="Arial" w:cs="Arial"/>
                <w:color w:val="000000"/>
                <w:sz w:val="20"/>
                <w:szCs w:val="20"/>
                <w:lang w:eastAsia="de-DE"/>
              </w:rPr>
              <w:t>Welle 2 (D)</w:t>
            </w:r>
          </w:p>
        </w:tc>
        <w:tc>
          <w:tcPr>
            <w:tcW w:w="1404" w:type="dxa"/>
            <w:shd w:val="clear" w:color="auto" w:fill="auto"/>
            <w:vAlign w:val="center"/>
            <w:hideMark/>
          </w:tcPr>
          <w:p w14:paraId="72FED502" w14:textId="77777777" w:rsidR="009C2121" w:rsidRPr="009C2121" w:rsidRDefault="009C2121" w:rsidP="003948CD">
            <w:pPr>
              <w:spacing w:after="0" w:line="240" w:lineRule="auto"/>
              <w:jc w:val="center"/>
              <w:rPr>
                <w:rFonts w:ascii="Arial" w:eastAsia="Times New Roman" w:hAnsi="Arial" w:cs="Arial"/>
                <w:color w:val="000000"/>
                <w:sz w:val="20"/>
                <w:szCs w:val="20"/>
                <w:lang w:eastAsia="de-DE"/>
              </w:rPr>
            </w:pPr>
          </w:p>
        </w:tc>
        <w:tc>
          <w:tcPr>
            <w:tcW w:w="1693" w:type="dxa"/>
            <w:shd w:val="clear" w:color="auto" w:fill="auto"/>
            <w:vAlign w:val="center"/>
            <w:hideMark/>
          </w:tcPr>
          <w:p w14:paraId="353E9C9F" w14:textId="77777777" w:rsidR="009C2121" w:rsidRPr="009C2121" w:rsidRDefault="009C2121" w:rsidP="003948CD">
            <w:pPr>
              <w:spacing w:after="0" w:line="240" w:lineRule="auto"/>
              <w:jc w:val="center"/>
              <w:rPr>
                <w:rFonts w:ascii="Times New Roman" w:eastAsia="Times New Roman" w:hAnsi="Times New Roman" w:cs="Times New Roman"/>
                <w:sz w:val="20"/>
                <w:szCs w:val="20"/>
                <w:lang w:eastAsia="de-DE"/>
              </w:rPr>
            </w:pPr>
          </w:p>
        </w:tc>
      </w:tr>
      <w:tr w:rsidR="009C2121" w:rsidRPr="009C2121" w14:paraId="2281844F" w14:textId="77777777" w:rsidTr="003948CD">
        <w:trPr>
          <w:trHeight w:val="567"/>
        </w:trPr>
        <w:tc>
          <w:tcPr>
            <w:tcW w:w="2920" w:type="dxa"/>
            <w:shd w:val="clear" w:color="auto" w:fill="auto"/>
            <w:vAlign w:val="center"/>
            <w:hideMark/>
          </w:tcPr>
          <w:p w14:paraId="537C45FF" w14:textId="77777777" w:rsidR="009C2121" w:rsidRPr="009C2121" w:rsidRDefault="009C2121" w:rsidP="003948CD">
            <w:pPr>
              <w:spacing w:after="0" w:line="240" w:lineRule="auto"/>
              <w:rPr>
                <w:rFonts w:ascii="Arial" w:eastAsia="Times New Roman" w:hAnsi="Arial" w:cs="Arial"/>
                <w:color w:val="000000"/>
                <w:sz w:val="20"/>
                <w:szCs w:val="20"/>
                <w:lang w:eastAsia="de-DE"/>
              </w:rPr>
            </w:pPr>
            <w:r w:rsidRPr="009C2121">
              <w:rPr>
                <w:rFonts w:ascii="Arial" w:eastAsia="Times New Roman" w:hAnsi="Arial" w:cs="Arial"/>
                <w:color w:val="000000"/>
                <w:sz w:val="20"/>
                <w:szCs w:val="20"/>
                <w:lang w:eastAsia="de-DE"/>
              </w:rPr>
              <w:t xml:space="preserve">WP2 Erhebung Organisationen (alle PIs &amp; </w:t>
            </w:r>
            <w:proofErr w:type="spellStart"/>
            <w:r w:rsidRPr="009C2121">
              <w:rPr>
                <w:rFonts w:ascii="Arial" w:eastAsia="Times New Roman" w:hAnsi="Arial" w:cs="Arial"/>
                <w:color w:val="000000"/>
                <w:sz w:val="20"/>
                <w:szCs w:val="20"/>
                <w:lang w:eastAsia="de-DE"/>
              </w:rPr>
              <w:t>ipb</w:t>
            </w:r>
            <w:proofErr w:type="spellEnd"/>
            <w:r w:rsidRPr="009C2121">
              <w:rPr>
                <w:rFonts w:ascii="Arial" w:eastAsia="Times New Roman" w:hAnsi="Arial" w:cs="Arial"/>
                <w:color w:val="000000"/>
                <w:sz w:val="20"/>
                <w:szCs w:val="20"/>
                <w:lang w:eastAsia="de-DE"/>
              </w:rPr>
              <w:t>)</w:t>
            </w:r>
          </w:p>
        </w:tc>
        <w:tc>
          <w:tcPr>
            <w:tcW w:w="2691" w:type="dxa"/>
            <w:gridSpan w:val="2"/>
            <w:shd w:val="clear" w:color="000000" w:fill="D9D9D9"/>
            <w:vAlign w:val="center"/>
            <w:hideMark/>
          </w:tcPr>
          <w:p w14:paraId="5A18B9C3" w14:textId="208783D9" w:rsidR="009C2121" w:rsidRPr="009C2121" w:rsidRDefault="009C2121" w:rsidP="003948CD">
            <w:pPr>
              <w:spacing w:after="0" w:line="240" w:lineRule="auto"/>
              <w:jc w:val="center"/>
              <w:rPr>
                <w:rFonts w:ascii="Arial" w:eastAsia="Times New Roman" w:hAnsi="Arial" w:cs="Arial"/>
                <w:color w:val="000000"/>
                <w:sz w:val="20"/>
                <w:szCs w:val="20"/>
                <w:lang w:eastAsia="de-DE"/>
              </w:rPr>
            </w:pPr>
            <w:r w:rsidRPr="009C2121">
              <w:rPr>
                <w:rFonts w:ascii="Arial" w:eastAsia="Times New Roman" w:hAnsi="Arial" w:cs="Arial"/>
                <w:color w:val="000000"/>
                <w:sz w:val="20"/>
                <w:szCs w:val="20"/>
                <w:lang w:eastAsia="de-DE"/>
              </w:rPr>
              <w:t>Schritt 1</w:t>
            </w:r>
            <w:r>
              <w:rPr>
                <w:rFonts w:ascii="Arial" w:eastAsia="Times New Roman" w:hAnsi="Arial" w:cs="Arial"/>
                <w:color w:val="000000"/>
                <w:sz w:val="20"/>
                <w:szCs w:val="20"/>
                <w:lang w:eastAsia="de-DE"/>
              </w:rPr>
              <w:br/>
            </w:r>
            <w:r w:rsidRPr="009C2121">
              <w:rPr>
                <w:rFonts w:ascii="Arial" w:eastAsia="Times New Roman" w:hAnsi="Arial" w:cs="Arial"/>
                <w:color w:val="000000"/>
                <w:sz w:val="20"/>
                <w:szCs w:val="20"/>
                <w:lang w:eastAsia="de-DE"/>
              </w:rPr>
              <w:t>Mapping</w:t>
            </w:r>
          </w:p>
        </w:tc>
        <w:tc>
          <w:tcPr>
            <w:tcW w:w="3032" w:type="dxa"/>
            <w:gridSpan w:val="2"/>
            <w:shd w:val="clear" w:color="000000" w:fill="D9D9D9"/>
            <w:vAlign w:val="center"/>
            <w:hideMark/>
          </w:tcPr>
          <w:p w14:paraId="413000CF" w14:textId="24568906" w:rsidR="009C2121" w:rsidRPr="009C2121" w:rsidRDefault="009C2121" w:rsidP="003948CD">
            <w:pPr>
              <w:spacing w:after="0" w:line="240" w:lineRule="auto"/>
              <w:jc w:val="center"/>
              <w:rPr>
                <w:rFonts w:ascii="Arial" w:eastAsia="Times New Roman" w:hAnsi="Arial" w:cs="Arial"/>
                <w:color w:val="000000"/>
                <w:sz w:val="20"/>
                <w:szCs w:val="20"/>
                <w:lang w:eastAsia="de-DE"/>
              </w:rPr>
            </w:pPr>
            <w:r w:rsidRPr="009C2121">
              <w:rPr>
                <w:rFonts w:ascii="Arial" w:eastAsia="Times New Roman" w:hAnsi="Arial" w:cs="Arial"/>
                <w:color w:val="000000"/>
                <w:sz w:val="20"/>
                <w:szCs w:val="20"/>
                <w:lang w:eastAsia="de-DE"/>
              </w:rPr>
              <w:t>Schritt 2</w:t>
            </w:r>
            <w:r>
              <w:rPr>
                <w:rFonts w:ascii="Arial" w:eastAsia="Times New Roman" w:hAnsi="Arial" w:cs="Arial"/>
                <w:color w:val="000000"/>
                <w:sz w:val="20"/>
                <w:szCs w:val="20"/>
                <w:lang w:eastAsia="de-DE"/>
              </w:rPr>
              <w:br/>
            </w:r>
            <w:r w:rsidRPr="009C2121">
              <w:rPr>
                <w:rFonts w:ascii="Arial" w:eastAsia="Times New Roman" w:hAnsi="Arial" w:cs="Arial"/>
                <w:color w:val="000000"/>
                <w:sz w:val="20"/>
                <w:szCs w:val="20"/>
                <w:lang w:eastAsia="de-DE"/>
              </w:rPr>
              <w:t>Befragung</w:t>
            </w:r>
          </w:p>
        </w:tc>
        <w:tc>
          <w:tcPr>
            <w:tcW w:w="1620" w:type="dxa"/>
            <w:shd w:val="clear" w:color="auto" w:fill="auto"/>
            <w:vAlign w:val="center"/>
            <w:hideMark/>
          </w:tcPr>
          <w:p w14:paraId="699BDAB1" w14:textId="77777777" w:rsidR="009C2121" w:rsidRPr="009C2121" w:rsidRDefault="009C2121" w:rsidP="003948CD">
            <w:pPr>
              <w:spacing w:after="0" w:line="240" w:lineRule="auto"/>
              <w:jc w:val="center"/>
              <w:rPr>
                <w:rFonts w:ascii="Arial" w:eastAsia="Times New Roman" w:hAnsi="Arial" w:cs="Arial"/>
                <w:color w:val="000000"/>
                <w:sz w:val="20"/>
                <w:szCs w:val="20"/>
                <w:lang w:eastAsia="de-DE"/>
              </w:rPr>
            </w:pPr>
          </w:p>
        </w:tc>
        <w:tc>
          <w:tcPr>
            <w:tcW w:w="1404" w:type="dxa"/>
            <w:shd w:val="clear" w:color="auto" w:fill="auto"/>
            <w:vAlign w:val="center"/>
            <w:hideMark/>
          </w:tcPr>
          <w:p w14:paraId="1B21A746" w14:textId="77777777" w:rsidR="009C2121" w:rsidRPr="009C2121" w:rsidRDefault="009C2121" w:rsidP="003948CD">
            <w:pPr>
              <w:spacing w:after="0" w:line="240" w:lineRule="auto"/>
              <w:jc w:val="center"/>
              <w:rPr>
                <w:rFonts w:ascii="Times New Roman" w:eastAsia="Times New Roman" w:hAnsi="Times New Roman" w:cs="Times New Roman"/>
                <w:sz w:val="20"/>
                <w:szCs w:val="20"/>
                <w:lang w:eastAsia="de-DE"/>
              </w:rPr>
            </w:pPr>
          </w:p>
        </w:tc>
        <w:tc>
          <w:tcPr>
            <w:tcW w:w="1693" w:type="dxa"/>
            <w:shd w:val="clear" w:color="auto" w:fill="auto"/>
            <w:vAlign w:val="center"/>
            <w:hideMark/>
          </w:tcPr>
          <w:p w14:paraId="751ADC47" w14:textId="77777777" w:rsidR="009C2121" w:rsidRPr="009C2121" w:rsidRDefault="009C2121" w:rsidP="003948CD">
            <w:pPr>
              <w:spacing w:after="0" w:line="240" w:lineRule="auto"/>
              <w:jc w:val="center"/>
              <w:rPr>
                <w:rFonts w:ascii="Times New Roman" w:eastAsia="Times New Roman" w:hAnsi="Times New Roman" w:cs="Times New Roman"/>
                <w:sz w:val="20"/>
                <w:szCs w:val="20"/>
                <w:lang w:eastAsia="de-DE"/>
              </w:rPr>
            </w:pPr>
          </w:p>
        </w:tc>
      </w:tr>
      <w:tr w:rsidR="009C2121" w:rsidRPr="009C2121" w14:paraId="060F2B9B" w14:textId="77777777" w:rsidTr="003948CD">
        <w:trPr>
          <w:trHeight w:val="567"/>
        </w:trPr>
        <w:tc>
          <w:tcPr>
            <w:tcW w:w="2920" w:type="dxa"/>
            <w:shd w:val="clear" w:color="auto" w:fill="auto"/>
            <w:vAlign w:val="center"/>
            <w:hideMark/>
          </w:tcPr>
          <w:p w14:paraId="5DBD8F8F" w14:textId="412DE874" w:rsidR="009C2121" w:rsidRPr="009C2121" w:rsidRDefault="009C2121" w:rsidP="003948CD">
            <w:pPr>
              <w:spacing w:after="0" w:line="240" w:lineRule="auto"/>
              <w:rPr>
                <w:rFonts w:ascii="Arial" w:eastAsia="Times New Roman" w:hAnsi="Arial" w:cs="Arial"/>
                <w:color w:val="000000"/>
                <w:sz w:val="20"/>
                <w:szCs w:val="20"/>
                <w:lang w:eastAsia="de-DE"/>
              </w:rPr>
            </w:pPr>
            <w:r w:rsidRPr="009C2121">
              <w:rPr>
                <w:rFonts w:ascii="Arial" w:eastAsia="Times New Roman" w:hAnsi="Arial" w:cs="Arial"/>
                <w:color w:val="000000"/>
                <w:sz w:val="20"/>
                <w:szCs w:val="20"/>
                <w:lang w:eastAsia="de-DE"/>
              </w:rPr>
              <w:t>WP3 Analyse Emoti</w:t>
            </w:r>
            <w:r w:rsidR="00620E85">
              <w:rPr>
                <w:rFonts w:ascii="Arial" w:eastAsia="Times New Roman" w:hAnsi="Arial" w:cs="Arial"/>
                <w:color w:val="000000"/>
                <w:sz w:val="20"/>
                <w:szCs w:val="20"/>
                <w:lang w:eastAsia="de-DE"/>
              </w:rPr>
              <w:t>o</w:t>
            </w:r>
            <w:r w:rsidRPr="009C2121">
              <w:rPr>
                <w:rFonts w:ascii="Arial" w:eastAsia="Times New Roman" w:hAnsi="Arial" w:cs="Arial"/>
                <w:color w:val="000000"/>
                <w:sz w:val="20"/>
                <w:szCs w:val="20"/>
                <w:lang w:eastAsia="de-DE"/>
              </w:rPr>
              <w:t>nen</w:t>
            </w:r>
            <w:r w:rsidRPr="009C2121">
              <w:rPr>
                <w:rFonts w:ascii="Arial" w:eastAsia="Times New Roman" w:hAnsi="Arial" w:cs="Arial"/>
                <w:color w:val="000000"/>
                <w:sz w:val="20"/>
                <w:szCs w:val="20"/>
                <w:lang w:eastAsia="de-DE"/>
              </w:rPr>
              <w:br/>
              <w:t>(von Scheve)</w:t>
            </w:r>
          </w:p>
        </w:tc>
        <w:tc>
          <w:tcPr>
            <w:tcW w:w="1380" w:type="dxa"/>
            <w:shd w:val="clear" w:color="auto" w:fill="auto"/>
            <w:vAlign w:val="center"/>
            <w:hideMark/>
          </w:tcPr>
          <w:p w14:paraId="4C393804" w14:textId="77777777" w:rsidR="009C2121" w:rsidRPr="009C2121" w:rsidRDefault="009C2121" w:rsidP="003948CD">
            <w:pPr>
              <w:spacing w:after="0" w:line="240" w:lineRule="auto"/>
              <w:jc w:val="center"/>
              <w:rPr>
                <w:rFonts w:ascii="Arial" w:eastAsia="Times New Roman" w:hAnsi="Arial" w:cs="Arial"/>
                <w:color w:val="000000"/>
                <w:sz w:val="20"/>
                <w:szCs w:val="20"/>
                <w:lang w:eastAsia="de-DE"/>
              </w:rPr>
            </w:pPr>
          </w:p>
        </w:tc>
        <w:tc>
          <w:tcPr>
            <w:tcW w:w="1311" w:type="dxa"/>
            <w:shd w:val="clear" w:color="auto" w:fill="auto"/>
            <w:vAlign w:val="center"/>
            <w:hideMark/>
          </w:tcPr>
          <w:p w14:paraId="4A26CDD7" w14:textId="77777777" w:rsidR="009C2121" w:rsidRPr="009C2121" w:rsidRDefault="009C2121" w:rsidP="003948CD">
            <w:pPr>
              <w:spacing w:after="0" w:line="240" w:lineRule="auto"/>
              <w:jc w:val="center"/>
              <w:rPr>
                <w:rFonts w:ascii="Times New Roman" w:eastAsia="Times New Roman" w:hAnsi="Times New Roman" w:cs="Times New Roman"/>
                <w:sz w:val="20"/>
                <w:szCs w:val="20"/>
                <w:lang w:eastAsia="de-DE"/>
              </w:rPr>
            </w:pPr>
          </w:p>
        </w:tc>
        <w:tc>
          <w:tcPr>
            <w:tcW w:w="1620" w:type="dxa"/>
            <w:shd w:val="clear" w:color="auto" w:fill="auto"/>
            <w:vAlign w:val="center"/>
            <w:hideMark/>
          </w:tcPr>
          <w:p w14:paraId="4DB38985" w14:textId="7533A5EE" w:rsidR="009C2121" w:rsidRPr="009C2121" w:rsidRDefault="009C2121" w:rsidP="003948CD">
            <w:pPr>
              <w:spacing w:after="0" w:line="240" w:lineRule="auto"/>
              <w:jc w:val="center"/>
              <w:rPr>
                <w:rFonts w:ascii="Arial" w:eastAsia="Times New Roman" w:hAnsi="Arial" w:cs="Arial"/>
                <w:color w:val="000000"/>
                <w:sz w:val="20"/>
                <w:szCs w:val="20"/>
                <w:lang w:eastAsia="de-DE"/>
              </w:rPr>
            </w:pPr>
          </w:p>
        </w:tc>
        <w:tc>
          <w:tcPr>
            <w:tcW w:w="1412" w:type="dxa"/>
            <w:shd w:val="clear" w:color="000000" w:fill="D9D9D9"/>
            <w:vAlign w:val="center"/>
            <w:hideMark/>
          </w:tcPr>
          <w:p w14:paraId="7BAF9A0A" w14:textId="59719405" w:rsidR="009C2121" w:rsidRPr="009C2121" w:rsidRDefault="009C2121" w:rsidP="003948CD">
            <w:pPr>
              <w:spacing w:after="0" w:line="240" w:lineRule="auto"/>
              <w:jc w:val="center"/>
              <w:rPr>
                <w:rFonts w:ascii="Arial" w:eastAsia="Times New Roman" w:hAnsi="Arial" w:cs="Arial"/>
                <w:color w:val="000000"/>
                <w:sz w:val="20"/>
                <w:szCs w:val="20"/>
                <w:lang w:eastAsia="de-DE"/>
              </w:rPr>
            </w:pPr>
          </w:p>
        </w:tc>
        <w:tc>
          <w:tcPr>
            <w:tcW w:w="1620" w:type="dxa"/>
            <w:shd w:val="clear" w:color="000000" w:fill="D9D9D9"/>
            <w:vAlign w:val="center"/>
            <w:hideMark/>
          </w:tcPr>
          <w:p w14:paraId="1AB572F6" w14:textId="754867B1" w:rsidR="009C2121" w:rsidRPr="009C2121" w:rsidRDefault="009C2121" w:rsidP="003948CD">
            <w:pPr>
              <w:spacing w:after="0" w:line="240" w:lineRule="auto"/>
              <w:jc w:val="center"/>
              <w:rPr>
                <w:rFonts w:ascii="Arial" w:eastAsia="Times New Roman" w:hAnsi="Arial" w:cs="Arial"/>
                <w:color w:val="000000"/>
                <w:sz w:val="20"/>
                <w:szCs w:val="20"/>
                <w:lang w:eastAsia="de-DE"/>
              </w:rPr>
            </w:pPr>
          </w:p>
        </w:tc>
        <w:tc>
          <w:tcPr>
            <w:tcW w:w="1404" w:type="dxa"/>
            <w:shd w:val="clear" w:color="000000" w:fill="D9D9D9"/>
            <w:vAlign w:val="center"/>
            <w:hideMark/>
          </w:tcPr>
          <w:p w14:paraId="3E080EA0" w14:textId="75BEF65F" w:rsidR="009C2121" w:rsidRPr="009C2121" w:rsidRDefault="009C2121" w:rsidP="003948CD">
            <w:pPr>
              <w:spacing w:after="0" w:line="240" w:lineRule="auto"/>
              <w:jc w:val="center"/>
              <w:rPr>
                <w:rFonts w:ascii="Arial" w:eastAsia="Times New Roman" w:hAnsi="Arial" w:cs="Arial"/>
                <w:color w:val="000000"/>
                <w:sz w:val="20"/>
                <w:szCs w:val="20"/>
                <w:lang w:eastAsia="de-DE"/>
              </w:rPr>
            </w:pPr>
          </w:p>
        </w:tc>
        <w:tc>
          <w:tcPr>
            <w:tcW w:w="1693" w:type="dxa"/>
            <w:shd w:val="clear" w:color="auto" w:fill="auto"/>
            <w:vAlign w:val="center"/>
            <w:hideMark/>
          </w:tcPr>
          <w:p w14:paraId="5625DFFF" w14:textId="77777777" w:rsidR="009C2121" w:rsidRPr="009C2121" w:rsidRDefault="009C2121" w:rsidP="003948CD">
            <w:pPr>
              <w:spacing w:after="0" w:line="240" w:lineRule="auto"/>
              <w:jc w:val="center"/>
              <w:rPr>
                <w:rFonts w:ascii="Arial" w:eastAsia="Times New Roman" w:hAnsi="Arial" w:cs="Arial"/>
                <w:color w:val="000000"/>
                <w:sz w:val="20"/>
                <w:szCs w:val="20"/>
                <w:lang w:eastAsia="de-DE"/>
              </w:rPr>
            </w:pPr>
          </w:p>
        </w:tc>
      </w:tr>
      <w:tr w:rsidR="009C2121" w:rsidRPr="009C2121" w14:paraId="4D407854" w14:textId="77777777" w:rsidTr="003948CD">
        <w:trPr>
          <w:trHeight w:val="567"/>
        </w:trPr>
        <w:tc>
          <w:tcPr>
            <w:tcW w:w="2920" w:type="dxa"/>
            <w:shd w:val="clear" w:color="auto" w:fill="auto"/>
            <w:vAlign w:val="center"/>
            <w:hideMark/>
          </w:tcPr>
          <w:p w14:paraId="0F08975A" w14:textId="79BEB117" w:rsidR="009C2121" w:rsidRPr="009C2121" w:rsidRDefault="009C2121" w:rsidP="003948CD">
            <w:pPr>
              <w:spacing w:after="0" w:line="240" w:lineRule="auto"/>
              <w:rPr>
                <w:rFonts w:ascii="Arial" w:eastAsia="Times New Roman" w:hAnsi="Arial" w:cs="Arial"/>
                <w:color w:val="000000"/>
                <w:sz w:val="20"/>
                <w:szCs w:val="20"/>
                <w:lang w:eastAsia="de-DE"/>
              </w:rPr>
            </w:pPr>
            <w:r w:rsidRPr="009C2121">
              <w:rPr>
                <w:rFonts w:ascii="Arial" w:eastAsia="Times New Roman" w:hAnsi="Arial" w:cs="Arial"/>
                <w:color w:val="000000"/>
                <w:sz w:val="20"/>
                <w:szCs w:val="20"/>
                <w:lang w:eastAsia="de-DE"/>
              </w:rPr>
              <w:t xml:space="preserve">WP4 Analyse </w:t>
            </w:r>
            <w:r w:rsidR="00620E85">
              <w:rPr>
                <w:rFonts w:ascii="Arial" w:eastAsia="Times New Roman" w:hAnsi="Arial" w:cs="Arial"/>
                <w:color w:val="000000"/>
                <w:sz w:val="20"/>
                <w:szCs w:val="20"/>
                <w:lang w:eastAsia="de-DE"/>
              </w:rPr>
              <w:t>Persönlichkeit</w:t>
            </w:r>
            <w:r w:rsidR="00620E85" w:rsidRPr="009C2121">
              <w:rPr>
                <w:rFonts w:ascii="Arial" w:eastAsia="Times New Roman" w:hAnsi="Arial" w:cs="Arial"/>
                <w:color w:val="000000"/>
                <w:sz w:val="20"/>
                <w:szCs w:val="20"/>
                <w:lang w:eastAsia="de-DE"/>
              </w:rPr>
              <w:t xml:space="preserve"> </w:t>
            </w:r>
            <w:r w:rsidRPr="009C2121">
              <w:rPr>
                <w:rFonts w:ascii="Arial" w:eastAsia="Times New Roman" w:hAnsi="Arial" w:cs="Arial"/>
                <w:color w:val="000000"/>
                <w:sz w:val="20"/>
                <w:szCs w:val="20"/>
                <w:lang w:eastAsia="de-DE"/>
              </w:rPr>
              <w:t>(Specht)</w:t>
            </w:r>
          </w:p>
        </w:tc>
        <w:tc>
          <w:tcPr>
            <w:tcW w:w="1380" w:type="dxa"/>
            <w:shd w:val="clear" w:color="auto" w:fill="auto"/>
            <w:vAlign w:val="center"/>
            <w:hideMark/>
          </w:tcPr>
          <w:p w14:paraId="57A31A75" w14:textId="77777777" w:rsidR="009C2121" w:rsidRPr="009C2121" w:rsidRDefault="009C2121" w:rsidP="003948CD">
            <w:pPr>
              <w:spacing w:after="0" w:line="240" w:lineRule="auto"/>
              <w:jc w:val="center"/>
              <w:rPr>
                <w:rFonts w:ascii="Arial" w:eastAsia="Times New Roman" w:hAnsi="Arial" w:cs="Arial"/>
                <w:color w:val="000000"/>
                <w:sz w:val="20"/>
                <w:szCs w:val="20"/>
                <w:lang w:eastAsia="de-DE"/>
              </w:rPr>
            </w:pPr>
          </w:p>
        </w:tc>
        <w:tc>
          <w:tcPr>
            <w:tcW w:w="1311" w:type="dxa"/>
            <w:shd w:val="clear" w:color="auto" w:fill="auto"/>
            <w:vAlign w:val="center"/>
            <w:hideMark/>
          </w:tcPr>
          <w:p w14:paraId="273ACE47" w14:textId="77777777" w:rsidR="009C2121" w:rsidRPr="009C2121" w:rsidRDefault="009C2121" w:rsidP="003948CD">
            <w:pPr>
              <w:spacing w:after="0" w:line="240" w:lineRule="auto"/>
              <w:jc w:val="center"/>
              <w:rPr>
                <w:rFonts w:ascii="Times New Roman" w:eastAsia="Times New Roman" w:hAnsi="Times New Roman" w:cs="Times New Roman"/>
                <w:sz w:val="20"/>
                <w:szCs w:val="20"/>
                <w:lang w:eastAsia="de-DE"/>
              </w:rPr>
            </w:pPr>
          </w:p>
        </w:tc>
        <w:tc>
          <w:tcPr>
            <w:tcW w:w="1620" w:type="dxa"/>
            <w:shd w:val="clear" w:color="auto" w:fill="auto"/>
            <w:vAlign w:val="center"/>
            <w:hideMark/>
          </w:tcPr>
          <w:p w14:paraId="1608301E" w14:textId="39FE8B21" w:rsidR="009C2121" w:rsidRPr="009C2121" w:rsidRDefault="009C2121" w:rsidP="003948CD">
            <w:pPr>
              <w:spacing w:after="0" w:line="240" w:lineRule="auto"/>
              <w:jc w:val="center"/>
              <w:rPr>
                <w:rFonts w:ascii="Arial" w:eastAsia="Times New Roman" w:hAnsi="Arial" w:cs="Arial"/>
                <w:color w:val="000000"/>
                <w:sz w:val="20"/>
                <w:szCs w:val="20"/>
                <w:lang w:eastAsia="de-DE"/>
              </w:rPr>
            </w:pPr>
          </w:p>
        </w:tc>
        <w:tc>
          <w:tcPr>
            <w:tcW w:w="1412" w:type="dxa"/>
            <w:shd w:val="clear" w:color="000000" w:fill="D9D9D9"/>
            <w:vAlign w:val="center"/>
            <w:hideMark/>
          </w:tcPr>
          <w:p w14:paraId="532ABCD3" w14:textId="752C4B20" w:rsidR="009C2121" w:rsidRPr="009C2121" w:rsidRDefault="009C2121" w:rsidP="003948CD">
            <w:pPr>
              <w:spacing w:after="0" w:line="240" w:lineRule="auto"/>
              <w:jc w:val="center"/>
              <w:rPr>
                <w:rFonts w:ascii="Arial" w:eastAsia="Times New Roman" w:hAnsi="Arial" w:cs="Arial"/>
                <w:color w:val="000000"/>
                <w:sz w:val="20"/>
                <w:szCs w:val="20"/>
                <w:lang w:eastAsia="de-DE"/>
              </w:rPr>
            </w:pPr>
          </w:p>
        </w:tc>
        <w:tc>
          <w:tcPr>
            <w:tcW w:w="1620" w:type="dxa"/>
            <w:shd w:val="clear" w:color="000000" w:fill="D9D9D9"/>
            <w:vAlign w:val="center"/>
            <w:hideMark/>
          </w:tcPr>
          <w:p w14:paraId="299AC0E6" w14:textId="3F4AF82C" w:rsidR="009C2121" w:rsidRPr="009C2121" w:rsidRDefault="009C2121" w:rsidP="003948CD">
            <w:pPr>
              <w:spacing w:after="0" w:line="240" w:lineRule="auto"/>
              <w:jc w:val="center"/>
              <w:rPr>
                <w:rFonts w:ascii="Arial" w:eastAsia="Times New Roman" w:hAnsi="Arial" w:cs="Arial"/>
                <w:color w:val="000000"/>
                <w:sz w:val="20"/>
                <w:szCs w:val="20"/>
                <w:lang w:eastAsia="de-DE"/>
              </w:rPr>
            </w:pPr>
          </w:p>
        </w:tc>
        <w:tc>
          <w:tcPr>
            <w:tcW w:w="1404" w:type="dxa"/>
            <w:shd w:val="clear" w:color="000000" w:fill="D9D9D9"/>
            <w:vAlign w:val="center"/>
            <w:hideMark/>
          </w:tcPr>
          <w:p w14:paraId="30E6EDA7" w14:textId="3A1F790A" w:rsidR="009C2121" w:rsidRPr="009C2121" w:rsidRDefault="009C2121" w:rsidP="003948CD">
            <w:pPr>
              <w:spacing w:after="0" w:line="240" w:lineRule="auto"/>
              <w:jc w:val="center"/>
              <w:rPr>
                <w:rFonts w:ascii="Arial" w:eastAsia="Times New Roman" w:hAnsi="Arial" w:cs="Arial"/>
                <w:color w:val="000000"/>
                <w:sz w:val="20"/>
                <w:szCs w:val="20"/>
                <w:lang w:eastAsia="de-DE"/>
              </w:rPr>
            </w:pPr>
          </w:p>
        </w:tc>
        <w:tc>
          <w:tcPr>
            <w:tcW w:w="1693" w:type="dxa"/>
            <w:shd w:val="clear" w:color="auto" w:fill="auto"/>
            <w:vAlign w:val="center"/>
            <w:hideMark/>
          </w:tcPr>
          <w:p w14:paraId="2637FF0E" w14:textId="77777777" w:rsidR="009C2121" w:rsidRPr="009C2121" w:rsidRDefault="009C2121" w:rsidP="003948CD">
            <w:pPr>
              <w:spacing w:after="0" w:line="240" w:lineRule="auto"/>
              <w:jc w:val="center"/>
              <w:rPr>
                <w:rFonts w:ascii="Arial" w:eastAsia="Times New Roman" w:hAnsi="Arial" w:cs="Arial"/>
                <w:color w:val="000000"/>
                <w:sz w:val="20"/>
                <w:szCs w:val="20"/>
                <w:lang w:eastAsia="de-DE"/>
              </w:rPr>
            </w:pPr>
          </w:p>
        </w:tc>
      </w:tr>
      <w:tr w:rsidR="009C2121" w:rsidRPr="009C2121" w14:paraId="065907F9" w14:textId="77777777" w:rsidTr="003948CD">
        <w:trPr>
          <w:trHeight w:val="567"/>
        </w:trPr>
        <w:tc>
          <w:tcPr>
            <w:tcW w:w="2920" w:type="dxa"/>
            <w:shd w:val="clear" w:color="auto" w:fill="auto"/>
            <w:vAlign w:val="center"/>
            <w:hideMark/>
          </w:tcPr>
          <w:p w14:paraId="3D5509DB" w14:textId="78C301AF" w:rsidR="009C2121" w:rsidRPr="009C2121" w:rsidRDefault="009C2121" w:rsidP="003948CD">
            <w:pPr>
              <w:spacing w:after="0" w:line="240" w:lineRule="auto"/>
              <w:rPr>
                <w:rFonts w:ascii="Arial" w:eastAsia="Times New Roman" w:hAnsi="Arial" w:cs="Arial"/>
                <w:color w:val="000000"/>
                <w:sz w:val="20"/>
                <w:szCs w:val="20"/>
                <w:lang w:eastAsia="de-DE"/>
              </w:rPr>
            </w:pPr>
            <w:r w:rsidRPr="009C2121">
              <w:rPr>
                <w:rFonts w:ascii="Arial" w:eastAsia="Times New Roman" w:hAnsi="Arial" w:cs="Arial"/>
                <w:color w:val="000000"/>
                <w:sz w:val="20"/>
                <w:szCs w:val="20"/>
                <w:lang w:eastAsia="de-DE"/>
              </w:rPr>
              <w:t>WP5 Analyse Kontext</w:t>
            </w:r>
            <w:r w:rsidRPr="009C2121">
              <w:rPr>
                <w:rFonts w:ascii="Arial" w:eastAsia="Times New Roman" w:hAnsi="Arial" w:cs="Arial"/>
                <w:color w:val="000000"/>
                <w:sz w:val="20"/>
                <w:szCs w:val="20"/>
                <w:lang w:eastAsia="de-DE"/>
              </w:rPr>
              <w:br/>
              <w:t>(Hutter)</w:t>
            </w:r>
          </w:p>
        </w:tc>
        <w:tc>
          <w:tcPr>
            <w:tcW w:w="1380" w:type="dxa"/>
            <w:shd w:val="clear" w:color="auto" w:fill="auto"/>
            <w:vAlign w:val="center"/>
            <w:hideMark/>
          </w:tcPr>
          <w:p w14:paraId="0267DA26" w14:textId="77777777" w:rsidR="009C2121" w:rsidRPr="009C2121" w:rsidRDefault="009C2121" w:rsidP="003948CD">
            <w:pPr>
              <w:spacing w:after="0" w:line="240" w:lineRule="auto"/>
              <w:jc w:val="center"/>
              <w:rPr>
                <w:rFonts w:ascii="Arial" w:eastAsia="Times New Roman" w:hAnsi="Arial" w:cs="Arial"/>
                <w:color w:val="000000"/>
                <w:sz w:val="20"/>
                <w:szCs w:val="20"/>
                <w:lang w:eastAsia="de-DE"/>
              </w:rPr>
            </w:pPr>
          </w:p>
        </w:tc>
        <w:tc>
          <w:tcPr>
            <w:tcW w:w="1311" w:type="dxa"/>
            <w:shd w:val="clear" w:color="auto" w:fill="auto"/>
            <w:vAlign w:val="center"/>
            <w:hideMark/>
          </w:tcPr>
          <w:p w14:paraId="65289122" w14:textId="77777777" w:rsidR="009C2121" w:rsidRPr="009C2121" w:rsidRDefault="009C2121" w:rsidP="003948CD">
            <w:pPr>
              <w:spacing w:after="0" w:line="240" w:lineRule="auto"/>
              <w:jc w:val="center"/>
              <w:rPr>
                <w:rFonts w:ascii="Times New Roman" w:eastAsia="Times New Roman" w:hAnsi="Times New Roman" w:cs="Times New Roman"/>
                <w:sz w:val="20"/>
                <w:szCs w:val="20"/>
                <w:lang w:eastAsia="de-DE"/>
              </w:rPr>
            </w:pPr>
          </w:p>
        </w:tc>
        <w:tc>
          <w:tcPr>
            <w:tcW w:w="1620" w:type="dxa"/>
            <w:shd w:val="clear" w:color="auto" w:fill="auto"/>
            <w:vAlign w:val="center"/>
            <w:hideMark/>
          </w:tcPr>
          <w:p w14:paraId="6054C16F" w14:textId="6473524B" w:rsidR="009C2121" w:rsidRPr="009C2121" w:rsidRDefault="009C2121" w:rsidP="003948CD">
            <w:pPr>
              <w:spacing w:after="0" w:line="240" w:lineRule="auto"/>
              <w:jc w:val="center"/>
              <w:rPr>
                <w:rFonts w:ascii="Arial" w:eastAsia="Times New Roman" w:hAnsi="Arial" w:cs="Arial"/>
                <w:color w:val="000000"/>
                <w:sz w:val="20"/>
                <w:szCs w:val="20"/>
                <w:lang w:eastAsia="de-DE"/>
              </w:rPr>
            </w:pPr>
          </w:p>
        </w:tc>
        <w:tc>
          <w:tcPr>
            <w:tcW w:w="1412" w:type="dxa"/>
            <w:shd w:val="clear" w:color="000000" w:fill="D9D9D9"/>
            <w:vAlign w:val="center"/>
            <w:hideMark/>
          </w:tcPr>
          <w:p w14:paraId="2E8DA860" w14:textId="3728E309" w:rsidR="009C2121" w:rsidRPr="009C2121" w:rsidRDefault="009C2121" w:rsidP="003948CD">
            <w:pPr>
              <w:spacing w:after="0" w:line="240" w:lineRule="auto"/>
              <w:jc w:val="center"/>
              <w:rPr>
                <w:rFonts w:ascii="Arial" w:eastAsia="Times New Roman" w:hAnsi="Arial" w:cs="Arial"/>
                <w:color w:val="000000"/>
                <w:sz w:val="20"/>
                <w:szCs w:val="20"/>
                <w:lang w:eastAsia="de-DE"/>
              </w:rPr>
            </w:pPr>
          </w:p>
        </w:tc>
        <w:tc>
          <w:tcPr>
            <w:tcW w:w="1620" w:type="dxa"/>
            <w:shd w:val="clear" w:color="000000" w:fill="D9D9D9"/>
            <w:vAlign w:val="center"/>
            <w:hideMark/>
          </w:tcPr>
          <w:p w14:paraId="0B8137AE" w14:textId="369A974D" w:rsidR="009C2121" w:rsidRPr="009C2121" w:rsidRDefault="009C2121" w:rsidP="003948CD">
            <w:pPr>
              <w:spacing w:after="0" w:line="240" w:lineRule="auto"/>
              <w:jc w:val="center"/>
              <w:rPr>
                <w:rFonts w:ascii="Arial" w:eastAsia="Times New Roman" w:hAnsi="Arial" w:cs="Arial"/>
                <w:color w:val="000000"/>
                <w:sz w:val="20"/>
                <w:szCs w:val="20"/>
                <w:lang w:eastAsia="de-DE"/>
              </w:rPr>
            </w:pPr>
          </w:p>
        </w:tc>
        <w:tc>
          <w:tcPr>
            <w:tcW w:w="1404" w:type="dxa"/>
            <w:shd w:val="clear" w:color="000000" w:fill="D9D9D9"/>
            <w:vAlign w:val="center"/>
            <w:hideMark/>
          </w:tcPr>
          <w:p w14:paraId="7741C8A7" w14:textId="63AB464D" w:rsidR="009C2121" w:rsidRPr="009C2121" w:rsidRDefault="009C2121" w:rsidP="003948CD">
            <w:pPr>
              <w:spacing w:after="0" w:line="240" w:lineRule="auto"/>
              <w:jc w:val="center"/>
              <w:rPr>
                <w:rFonts w:ascii="Arial" w:eastAsia="Times New Roman" w:hAnsi="Arial" w:cs="Arial"/>
                <w:color w:val="000000"/>
                <w:sz w:val="20"/>
                <w:szCs w:val="20"/>
                <w:lang w:eastAsia="de-DE"/>
              </w:rPr>
            </w:pPr>
          </w:p>
        </w:tc>
        <w:tc>
          <w:tcPr>
            <w:tcW w:w="1693" w:type="dxa"/>
            <w:shd w:val="clear" w:color="auto" w:fill="auto"/>
            <w:vAlign w:val="center"/>
            <w:hideMark/>
          </w:tcPr>
          <w:p w14:paraId="31BBA295" w14:textId="77777777" w:rsidR="009C2121" w:rsidRPr="009C2121" w:rsidRDefault="009C2121" w:rsidP="003948CD">
            <w:pPr>
              <w:spacing w:after="0" w:line="240" w:lineRule="auto"/>
              <w:jc w:val="center"/>
              <w:rPr>
                <w:rFonts w:ascii="Arial" w:eastAsia="Times New Roman" w:hAnsi="Arial" w:cs="Arial"/>
                <w:color w:val="000000"/>
                <w:sz w:val="20"/>
                <w:szCs w:val="20"/>
                <w:lang w:eastAsia="de-DE"/>
              </w:rPr>
            </w:pPr>
          </w:p>
        </w:tc>
      </w:tr>
      <w:tr w:rsidR="009C2121" w:rsidRPr="009C2121" w14:paraId="316CF111" w14:textId="77777777" w:rsidTr="003948CD">
        <w:trPr>
          <w:trHeight w:val="567"/>
        </w:trPr>
        <w:tc>
          <w:tcPr>
            <w:tcW w:w="2920" w:type="dxa"/>
            <w:shd w:val="clear" w:color="auto" w:fill="auto"/>
            <w:vAlign w:val="center"/>
            <w:hideMark/>
          </w:tcPr>
          <w:p w14:paraId="209386C5" w14:textId="305DA5AF" w:rsidR="009C2121" w:rsidRPr="009C2121" w:rsidRDefault="009C2121" w:rsidP="003948CD">
            <w:pPr>
              <w:spacing w:after="0" w:line="240" w:lineRule="auto"/>
              <w:rPr>
                <w:rFonts w:ascii="Arial" w:eastAsia="Times New Roman" w:hAnsi="Arial" w:cs="Arial"/>
                <w:color w:val="000000"/>
                <w:sz w:val="20"/>
                <w:szCs w:val="20"/>
                <w:lang w:eastAsia="de-DE"/>
              </w:rPr>
            </w:pPr>
            <w:r w:rsidRPr="009C2121">
              <w:rPr>
                <w:rFonts w:ascii="Arial" w:eastAsia="Times New Roman" w:hAnsi="Arial" w:cs="Arial"/>
                <w:color w:val="000000"/>
                <w:sz w:val="20"/>
                <w:szCs w:val="20"/>
                <w:lang w:eastAsia="de-DE"/>
              </w:rPr>
              <w:t>Berichte</w:t>
            </w:r>
            <w:r w:rsidRPr="009C2121">
              <w:rPr>
                <w:rFonts w:ascii="Arial" w:eastAsia="Times New Roman" w:hAnsi="Arial" w:cs="Arial"/>
                <w:color w:val="000000"/>
                <w:sz w:val="20"/>
                <w:szCs w:val="20"/>
                <w:lang w:eastAsia="de-DE"/>
              </w:rPr>
              <w:br/>
              <w:t>(alle PIs)</w:t>
            </w:r>
          </w:p>
        </w:tc>
        <w:tc>
          <w:tcPr>
            <w:tcW w:w="1380" w:type="dxa"/>
            <w:shd w:val="clear" w:color="auto" w:fill="auto"/>
            <w:vAlign w:val="center"/>
            <w:hideMark/>
          </w:tcPr>
          <w:p w14:paraId="56A5E697" w14:textId="77777777" w:rsidR="009C2121" w:rsidRPr="009C2121" w:rsidRDefault="009C2121" w:rsidP="003948CD">
            <w:pPr>
              <w:spacing w:after="0" w:line="240" w:lineRule="auto"/>
              <w:jc w:val="center"/>
              <w:rPr>
                <w:rFonts w:ascii="Arial" w:eastAsia="Times New Roman" w:hAnsi="Arial" w:cs="Arial"/>
                <w:color w:val="000000"/>
                <w:sz w:val="20"/>
                <w:szCs w:val="20"/>
                <w:lang w:eastAsia="de-DE"/>
              </w:rPr>
            </w:pPr>
          </w:p>
        </w:tc>
        <w:tc>
          <w:tcPr>
            <w:tcW w:w="1311" w:type="dxa"/>
            <w:shd w:val="clear" w:color="auto" w:fill="auto"/>
            <w:vAlign w:val="center"/>
            <w:hideMark/>
          </w:tcPr>
          <w:p w14:paraId="358C2372" w14:textId="77777777" w:rsidR="009C2121" w:rsidRPr="009C2121" w:rsidRDefault="009C2121" w:rsidP="003948CD">
            <w:pPr>
              <w:spacing w:after="0" w:line="240" w:lineRule="auto"/>
              <w:jc w:val="center"/>
              <w:rPr>
                <w:rFonts w:ascii="Times New Roman" w:eastAsia="Times New Roman" w:hAnsi="Times New Roman" w:cs="Times New Roman"/>
                <w:sz w:val="20"/>
                <w:szCs w:val="20"/>
                <w:lang w:eastAsia="de-DE"/>
              </w:rPr>
            </w:pPr>
          </w:p>
        </w:tc>
        <w:tc>
          <w:tcPr>
            <w:tcW w:w="1620" w:type="dxa"/>
            <w:shd w:val="clear" w:color="000000" w:fill="D9D9D9"/>
            <w:vAlign w:val="center"/>
            <w:hideMark/>
          </w:tcPr>
          <w:p w14:paraId="5C38982A" w14:textId="417C89E9" w:rsidR="009C2121" w:rsidRPr="009C2121" w:rsidRDefault="009C2121" w:rsidP="003948CD">
            <w:pPr>
              <w:spacing w:after="0" w:line="240" w:lineRule="auto"/>
              <w:jc w:val="center"/>
              <w:rPr>
                <w:rFonts w:ascii="Arial" w:eastAsia="Times New Roman" w:hAnsi="Arial" w:cs="Arial"/>
                <w:color w:val="000000"/>
                <w:sz w:val="20"/>
                <w:szCs w:val="20"/>
                <w:lang w:eastAsia="de-DE"/>
              </w:rPr>
            </w:pPr>
            <w:r w:rsidRPr="009C2121">
              <w:rPr>
                <w:rFonts w:ascii="Arial" w:eastAsia="Times New Roman" w:hAnsi="Arial" w:cs="Arial"/>
                <w:color w:val="000000"/>
                <w:sz w:val="20"/>
                <w:szCs w:val="20"/>
                <w:lang w:eastAsia="de-DE"/>
              </w:rPr>
              <w:t xml:space="preserve">Release Daten &amp; </w:t>
            </w:r>
            <w:r>
              <w:rPr>
                <w:rFonts w:ascii="Arial" w:eastAsia="Times New Roman" w:hAnsi="Arial" w:cs="Arial"/>
                <w:color w:val="000000"/>
                <w:sz w:val="20"/>
                <w:szCs w:val="20"/>
                <w:lang w:eastAsia="de-DE"/>
              </w:rPr>
              <w:t xml:space="preserve">1. </w:t>
            </w:r>
            <w:r w:rsidRPr="009C2121">
              <w:rPr>
                <w:rFonts w:ascii="Arial" w:eastAsia="Times New Roman" w:hAnsi="Arial" w:cs="Arial"/>
                <w:color w:val="000000"/>
                <w:sz w:val="20"/>
                <w:szCs w:val="20"/>
                <w:lang w:eastAsia="de-DE"/>
              </w:rPr>
              <w:t>Analysen WP1</w:t>
            </w:r>
          </w:p>
        </w:tc>
        <w:tc>
          <w:tcPr>
            <w:tcW w:w="1412" w:type="dxa"/>
            <w:shd w:val="clear" w:color="auto" w:fill="auto"/>
            <w:vAlign w:val="center"/>
            <w:hideMark/>
          </w:tcPr>
          <w:p w14:paraId="0232759A" w14:textId="77777777" w:rsidR="009C2121" w:rsidRPr="009C2121" w:rsidRDefault="009C2121" w:rsidP="003948CD">
            <w:pPr>
              <w:spacing w:after="0" w:line="240" w:lineRule="auto"/>
              <w:jc w:val="center"/>
              <w:rPr>
                <w:rFonts w:ascii="Arial" w:eastAsia="Times New Roman" w:hAnsi="Arial" w:cs="Arial"/>
                <w:color w:val="000000"/>
                <w:sz w:val="20"/>
                <w:szCs w:val="20"/>
                <w:lang w:eastAsia="de-DE"/>
              </w:rPr>
            </w:pPr>
          </w:p>
        </w:tc>
        <w:tc>
          <w:tcPr>
            <w:tcW w:w="1620" w:type="dxa"/>
            <w:shd w:val="clear" w:color="000000" w:fill="D9D9D9"/>
            <w:vAlign w:val="center"/>
            <w:hideMark/>
          </w:tcPr>
          <w:p w14:paraId="64D64F76" w14:textId="09280735" w:rsidR="009C2121" w:rsidRPr="009C2121" w:rsidRDefault="009C2121" w:rsidP="003948CD">
            <w:pPr>
              <w:spacing w:after="0" w:line="240" w:lineRule="auto"/>
              <w:jc w:val="center"/>
              <w:rPr>
                <w:rFonts w:ascii="Arial" w:eastAsia="Times New Roman" w:hAnsi="Arial" w:cs="Arial"/>
                <w:color w:val="000000"/>
                <w:sz w:val="20"/>
                <w:szCs w:val="20"/>
                <w:lang w:eastAsia="de-DE"/>
              </w:rPr>
            </w:pPr>
            <w:r w:rsidRPr="009C2121">
              <w:rPr>
                <w:rFonts w:ascii="Arial" w:eastAsia="Times New Roman" w:hAnsi="Arial" w:cs="Arial"/>
                <w:color w:val="000000"/>
                <w:sz w:val="20"/>
                <w:szCs w:val="20"/>
                <w:lang w:eastAsia="de-DE"/>
              </w:rPr>
              <w:t xml:space="preserve">Release Daten &amp; </w:t>
            </w:r>
            <w:r>
              <w:rPr>
                <w:rFonts w:ascii="Arial" w:eastAsia="Times New Roman" w:hAnsi="Arial" w:cs="Arial"/>
                <w:color w:val="000000"/>
                <w:sz w:val="20"/>
                <w:szCs w:val="20"/>
                <w:lang w:eastAsia="de-DE"/>
              </w:rPr>
              <w:t xml:space="preserve">1. </w:t>
            </w:r>
            <w:r w:rsidRPr="009C2121">
              <w:rPr>
                <w:rFonts w:ascii="Arial" w:eastAsia="Times New Roman" w:hAnsi="Arial" w:cs="Arial"/>
                <w:color w:val="000000"/>
                <w:sz w:val="20"/>
                <w:szCs w:val="20"/>
                <w:lang w:eastAsia="de-DE"/>
              </w:rPr>
              <w:t>Analysen WP 2</w:t>
            </w:r>
          </w:p>
        </w:tc>
        <w:tc>
          <w:tcPr>
            <w:tcW w:w="1404" w:type="dxa"/>
            <w:shd w:val="clear" w:color="auto" w:fill="auto"/>
            <w:vAlign w:val="center"/>
            <w:hideMark/>
          </w:tcPr>
          <w:p w14:paraId="0CB35CC1" w14:textId="77777777" w:rsidR="009C2121" w:rsidRPr="009C2121" w:rsidRDefault="009C2121" w:rsidP="003948CD">
            <w:pPr>
              <w:spacing w:after="0" w:line="240" w:lineRule="auto"/>
              <w:jc w:val="center"/>
              <w:rPr>
                <w:rFonts w:ascii="Arial" w:eastAsia="Times New Roman" w:hAnsi="Arial" w:cs="Arial"/>
                <w:color w:val="000000"/>
                <w:sz w:val="20"/>
                <w:szCs w:val="20"/>
                <w:lang w:eastAsia="de-DE"/>
              </w:rPr>
            </w:pPr>
          </w:p>
        </w:tc>
        <w:tc>
          <w:tcPr>
            <w:tcW w:w="1693" w:type="dxa"/>
            <w:shd w:val="clear" w:color="000000" w:fill="D9D9D9"/>
            <w:vAlign w:val="center"/>
            <w:hideMark/>
          </w:tcPr>
          <w:p w14:paraId="57FA1E65" w14:textId="21F9E2FA" w:rsidR="009C2121" w:rsidRPr="009C2121" w:rsidRDefault="009C2121" w:rsidP="003948CD">
            <w:pPr>
              <w:spacing w:after="0" w:line="240" w:lineRule="auto"/>
              <w:jc w:val="center"/>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Vorläufiger Abschlussbericht</w:t>
            </w:r>
          </w:p>
        </w:tc>
      </w:tr>
    </w:tbl>
    <w:p w14:paraId="65E25090" w14:textId="77777777" w:rsidR="00B4345B" w:rsidRDefault="00B4345B">
      <w:pPr>
        <w:rPr>
          <w:sz w:val="20"/>
          <w:szCs w:val="20"/>
        </w:rPr>
        <w:sectPr w:rsidR="00B4345B" w:rsidSect="009C2121">
          <w:pgSz w:w="16838" w:h="11906" w:orient="landscape"/>
          <w:pgMar w:top="1417" w:right="1134" w:bottom="1417" w:left="1417" w:header="708" w:footer="708" w:gutter="0"/>
          <w:cols w:space="708"/>
          <w:docGrid w:linePitch="360"/>
        </w:sectPr>
      </w:pPr>
    </w:p>
    <w:p w14:paraId="5F420CA8" w14:textId="77777777" w:rsidR="00B4345B" w:rsidRDefault="00B4345B" w:rsidP="00B4345B">
      <w:pPr>
        <w:rPr>
          <w:rFonts w:ascii="Arial" w:hAnsi="Arial" w:cs="Arial"/>
          <w:b/>
          <w:bCs/>
        </w:rPr>
      </w:pPr>
      <w:r>
        <w:rPr>
          <w:rFonts w:ascii="Arial" w:hAnsi="Arial" w:cs="Arial"/>
          <w:b/>
          <w:bCs/>
        </w:rPr>
        <w:lastRenderedPageBreak/>
        <w:t>Erläuterung Budgetposten</w:t>
      </w:r>
    </w:p>
    <w:p w14:paraId="03EC80D8" w14:textId="77777777" w:rsidR="00B4345B" w:rsidRDefault="00B4345B" w:rsidP="00B4345B">
      <w:pPr>
        <w:rPr>
          <w:rFonts w:ascii="Arial" w:hAnsi="Arial" w:cs="Arial"/>
          <w:i/>
          <w:iCs/>
        </w:rPr>
      </w:pPr>
      <w:r>
        <w:rPr>
          <w:rFonts w:ascii="Arial" w:hAnsi="Arial" w:cs="Arial"/>
          <w:i/>
          <w:iCs/>
        </w:rPr>
        <w:t>Sachmittel</w:t>
      </w:r>
    </w:p>
    <w:p w14:paraId="2317A2F5" w14:textId="77777777" w:rsidR="00B4345B" w:rsidRDefault="00B4345B" w:rsidP="00B4345B">
      <w:pPr>
        <w:rPr>
          <w:rFonts w:ascii="Arial" w:hAnsi="Arial" w:cs="Arial"/>
        </w:rPr>
      </w:pPr>
      <w:r>
        <w:rPr>
          <w:rFonts w:ascii="Arial" w:hAnsi="Arial" w:cs="Arial"/>
        </w:rPr>
        <w:t xml:space="preserve">Die beantragten Kosten für Sachmittel basieren auf Kostenvoranschlägen vom Access Panel Anbieter </w:t>
      </w:r>
      <w:proofErr w:type="spellStart"/>
      <w:r>
        <w:rPr>
          <w:rFonts w:ascii="Arial" w:hAnsi="Arial" w:cs="Arial"/>
          <w:i/>
          <w:iCs/>
        </w:rPr>
        <w:t>Respondi</w:t>
      </w:r>
      <w:proofErr w:type="spellEnd"/>
      <w:r>
        <w:rPr>
          <w:rFonts w:ascii="Arial" w:hAnsi="Arial" w:cs="Arial"/>
        </w:rPr>
        <w:t xml:space="preserve"> für die Bevölkerungsumfragen in Deutschland (zwei Wellen; 3,500 bzw. 700 Befragte) und vier weiteren EU-Mitgliedsländern (je 1,200 Befragte). Die Kosten belaufen sich auf rund 11,000 Euro für die Umfragen in Deutschland sowie 18,600 Euro für die Umfragen in den anderen Ländern. Diese Mittel werden dem Budget der HU zugerechnet.</w:t>
      </w:r>
    </w:p>
    <w:p w14:paraId="5CD3453A" w14:textId="77777777" w:rsidR="00B4345B" w:rsidRDefault="00B4345B" w:rsidP="00B4345B">
      <w:pPr>
        <w:rPr>
          <w:rFonts w:ascii="Arial" w:hAnsi="Arial" w:cs="Arial"/>
        </w:rPr>
      </w:pPr>
      <w:r>
        <w:rPr>
          <w:rFonts w:ascii="Arial" w:hAnsi="Arial" w:cs="Arial"/>
        </w:rPr>
        <w:t>Die Kosten für die systematische Rekrutierung und Online-Befragung von zivilgesellschaftlichen Organisationen und Initiativen in Deutschland belaufen sich auf rund 14,500 Euro. Der Kostenvoranschlag stammt vom Institut für Protest- und Bewegungsforschung (</w:t>
      </w:r>
      <w:proofErr w:type="spellStart"/>
      <w:r>
        <w:rPr>
          <w:rFonts w:ascii="Arial" w:hAnsi="Arial" w:cs="Arial"/>
        </w:rPr>
        <w:t>ipb</w:t>
      </w:r>
      <w:proofErr w:type="spellEnd"/>
      <w:r>
        <w:rPr>
          <w:rFonts w:ascii="Arial" w:hAnsi="Arial" w:cs="Arial"/>
        </w:rPr>
        <w:t>) und wird dem Budget der FU zugerechnet.</w:t>
      </w:r>
    </w:p>
    <w:p w14:paraId="3013B310" w14:textId="77777777" w:rsidR="00B4345B" w:rsidRDefault="00B4345B" w:rsidP="00B4345B">
      <w:pPr>
        <w:rPr>
          <w:rFonts w:ascii="Arial" w:hAnsi="Arial" w:cs="Arial"/>
        </w:rPr>
      </w:pPr>
      <w:r>
        <w:rPr>
          <w:rFonts w:ascii="Arial" w:hAnsi="Arial" w:cs="Arial"/>
        </w:rPr>
        <w:t>Zudem haben wir 3,500 Euro für Website-Erstellung sowie Produktion einer Borschüre zur Verteilung an Zivilgesellschaft, Politik und Öffentlichkeit veranschlagt.</w:t>
      </w:r>
    </w:p>
    <w:p w14:paraId="7EC9435A" w14:textId="77777777" w:rsidR="00B4345B" w:rsidRDefault="00B4345B" w:rsidP="00B4345B">
      <w:pPr>
        <w:rPr>
          <w:rFonts w:ascii="Arial" w:hAnsi="Arial" w:cs="Arial"/>
        </w:rPr>
      </w:pPr>
    </w:p>
    <w:p w14:paraId="0A29CC09" w14:textId="77777777" w:rsidR="00B4345B" w:rsidRDefault="00B4345B" w:rsidP="00B4345B">
      <w:pPr>
        <w:rPr>
          <w:rFonts w:ascii="Arial" w:hAnsi="Arial" w:cs="Arial"/>
          <w:i/>
          <w:iCs/>
        </w:rPr>
      </w:pPr>
      <w:r>
        <w:rPr>
          <w:rFonts w:ascii="Arial" w:hAnsi="Arial" w:cs="Arial"/>
          <w:i/>
          <w:iCs/>
        </w:rPr>
        <w:t>Personalmittel</w:t>
      </w:r>
    </w:p>
    <w:p w14:paraId="00851DF6" w14:textId="77777777" w:rsidR="00B4345B" w:rsidRDefault="00B4345B" w:rsidP="00B4345B">
      <w:pPr>
        <w:rPr>
          <w:rFonts w:ascii="Arial" w:hAnsi="Arial" w:cs="Arial"/>
        </w:rPr>
      </w:pPr>
      <w:r>
        <w:rPr>
          <w:rFonts w:ascii="Arial" w:hAnsi="Arial" w:cs="Arial"/>
        </w:rPr>
        <w:t>Die beantragten Personalmittel decken die Kosten für eine Postdoc-Stelle für 50% für sechs Monate (Juni bis Dezember 2020) ab. Diese Kosten werden der FU zugerechnet, da es dort auch eine entsprechend qualifizierte Person gibt, die auf diese Stelle umgesetzt werden kann.</w:t>
      </w:r>
    </w:p>
    <w:p w14:paraId="0DDB0BAF" w14:textId="77777777" w:rsidR="00B4345B" w:rsidRDefault="00B4345B" w:rsidP="00B4345B">
      <w:pPr>
        <w:rPr>
          <w:rFonts w:ascii="Arial" w:hAnsi="Arial" w:cs="Arial"/>
        </w:rPr>
      </w:pPr>
      <w:r>
        <w:rPr>
          <w:rFonts w:ascii="Arial" w:hAnsi="Arial" w:cs="Arial"/>
        </w:rPr>
        <w:t>Zudem werden Mittel für 6 SHK-Stellen (60h pro Monat; 6 Monate) veranschlagt. Diese Unterstützung ist notwendig für die aufwändige Recherche und Sicherung zivilgesellschaftlicher Angebote für solidarisches Handeln (1. Schritt Organisationsanalyse) sowie zur Unterstützung von Postdoc und PIs bei der Programmierung der Bevölkerungsumfragen sowie deren Auswertung. Zwei Stellen sind an der FU sowie drei an der HU angesiedelt. Wir kennen auch schon einen Pool geeigneter Studierender für diese Aufgaben. Falls es zu Verzögerung in der Anstellung kommen sollte, werden wir mit Werkverträgen arbeiten. In jedem Fall sehen wir dies auch als gute Möglichkeit an, Forschung und Lehre miteinander zu verzahnen und Studierenden, die in der Corona-Krise ihre Jobs verloren haben, ein kurzfristiges Jobangebot in der Wissenschaft zu ermöglichen.</w:t>
      </w:r>
    </w:p>
    <w:p w14:paraId="0F1C2DA3" w14:textId="77777777" w:rsidR="00B4345B" w:rsidRDefault="00B4345B">
      <w:pPr>
        <w:rPr>
          <w:rFonts w:ascii="Arial" w:hAnsi="Arial" w:cs="Arial"/>
          <w:b/>
          <w:bCs/>
        </w:rPr>
      </w:pPr>
      <w:r>
        <w:rPr>
          <w:rFonts w:ascii="Arial" w:hAnsi="Arial" w:cs="Arial"/>
          <w:b/>
          <w:bCs/>
        </w:rPr>
        <w:br w:type="page"/>
      </w:r>
    </w:p>
    <w:p w14:paraId="36398845" w14:textId="275BFD96" w:rsidR="00B4345B" w:rsidRPr="00685378" w:rsidRDefault="00B4345B" w:rsidP="00B4345B">
      <w:pPr>
        <w:tabs>
          <w:tab w:val="left" w:pos="709"/>
        </w:tabs>
        <w:spacing w:after="120" w:line="240" w:lineRule="auto"/>
        <w:ind w:left="567" w:hanging="567"/>
        <w:rPr>
          <w:rFonts w:ascii="Arial" w:hAnsi="Arial" w:cs="Arial"/>
          <w:b/>
          <w:bCs/>
          <w:lang w:val="en-US"/>
        </w:rPr>
      </w:pPr>
      <w:proofErr w:type="spellStart"/>
      <w:r w:rsidRPr="00685378">
        <w:rPr>
          <w:rFonts w:ascii="Arial" w:hAnsi="Arial" w:cs="Arial"/>
          <w:b/>
          <w:bCs/>
          <w:lang w:val="en-US"/>
        </w:rPr>
        <w:lastRenderedPageBreak/>
        <w:t>Literaturverzeichnis</w:t>
      </w:r>
      <w:proofErr w:type="spellEnd"/>
    </w:p>
    <w:p w14:paraId="582D7E61" w14:textId="77777777" w:rsidR="00B4345B" w:rsidRPr="00685378" w:rsidRDefault="00B4345B" w:rsidP="00B4345B">
      <w:pPr>
        <w:tabs>
          <w:tab w:val="left" w:pos="709"/>
        </w:tabs>
        <w:spacing w:after="120" w:line="240" w:lineRule="auto"/>
        <w:ind w:left="567" w:hanging="567"/>
        <w:rPr>
          <w:rFonts w:ascii="Arial" w:hAnsi="Arial" w:cs="Arial"/>
        </w:rPr>
      </w:pPr>
      <w:r w:rsidRPr="00724B65">
        <w:rPr>
          <w:rFonts w:ascii="Arial" w:hAnsi="Arial" w:cs="Arial"/>
          <w:lang w:val="en-US"/>
        </w:rPr>
        <w:t xml:space="preserve">Aldrich, Daniel P. 2012. Building resilience: social capital in post-disaster recovery. </w:t>
      </w:r>
      <w:r w:rsidRPr="00685378">
        <w:rPr>
          <w:rFonts w:ascii="Arial" w:hAnsi="Arial" w:cs="Arial"/>
        </w:rPr>
        <w:t xml:space="preserve">Chicago: The University </w:t>
      </w:r>
      <w:proofErr w:type="spellStart"/>
      <w:r w:rsidRPr="00685378">
        <w:rPr>
          <w:rFonts w:ascii="Arial" w:hAnsi="Arial" w:cs="Arial"/>
        </w:rPr>
        <w:t>of</w:t>
      </w:r>
      <w:proofErr w:type="spellEnd"/>
      <w:r w:rsidRPr="00685378">
        <w:rPr>
          <w:rFonts w:ascii="Arial" w:hAnsi="Arial" w:cs="Arial"/>
        </w:rPr>
        <w:t xml:space="preserve"> Chicago Press.</w:t>
      </w:r>
    </w:p>
    <w:p w14:paraId="64563BBC" w14:textId="77777777" w:rsidR="00B4345B" w:rsidRPr="00685378" w:rsidRDefault="00B4345B" w:rsidP="00B4345B">
      <w:pPr>
        <w:tabs>
          <w:tab w:val="left" w:pos="709"/>
        </w:tabs>
        <w:spacing w:after="120" w:line="240" w:lineRule="auto"/>
        <w:ind w:left="567" w:hanging="567"/>
        <w:rPr>
          <w:rFonts w:ascii="Arial" w:hAnsi="Arial" w:cs="Arial"/>
        </w:rPr>
      </w:pPr>
      <w:r w:rsidRPr="00724B65">
        <w:rPr>
          <w:rFonts w:ascii="Arial" w:hAnsi="Arial" w:cs="Arial"/>
        </w:rPr>
        <w:t xml:space="preserve">BMFSFJ (2018). Engagement in der Flüchtlingshilfe: Ergebnisbericht einer Untersuchung des Instituts für Demoskopie Allensbach. </w:t>
      </w:r>
      <w:r w:rsidRPr="00685378">
        <w:rPr>
          <w:rFonts w:ascii="Arial" w:hAnsi="Arial" w:cs="Arial"/>
        </w:rPr>
        <w:t>Berlin.</w:t>
      </w:r>
    </w:p>
    <w:p w14:paraId="5B3E75BC" w14:textId="77777777" w:rsidR="00B4345B" w:rsidRPr="009B106F" w:rsidRDefault="00B4345B" w:rsidP="00B4345B">
      <w:pPr>
        <w:tabs>
          <w:tab w:val="left" w:pos="709"/>
        </w:tabs>
        <w:spacing w:after="120" w:line="240" w:lineRule="auto"/>
        <w:ind w:left="567" w:hanging="567"/>
        <w:rPr>
          <w:rFonts w:ascii="Arial" w:hAnsi="Arial" w:cs="Arial"/>
        </w:rPr>
      </w:pPr>
      <w:r w:rsidRPr="00685378">
        <w:rPr>
          <w:rFonts w:ascii="Arial" w:hAnsi="Arial" w:cs="Arial"/>
        </w:rPr>
        <w:t xml:space="preserve">Brake, A., &amp; Weber, S. (2009). </w:t>
      </w:r>
      <w:r w:rsidRPr="00724B65">
        <w:rPr>
          <w:rFonts w:ascii="Arial" w:hAnsi="Arial" w:cs="Arial"/>
        </w:rPr>
        <w:t xml:space="preserve">„Internetbasierte Befragung“. In Handbuch Methoden der Organisationsforschung, herausgegeben von </w:t>
      </w:r>
      <w:r>
        <w:rPr>
          <w:rFonts w:ascii="Arial" w:hAnsi="Arial" w:cs="Arial"/>
        </w:rPr>
        <w:t>S.</w:t>
      </w:r>
      <w:r w:rsidRPr="00724B65">
        <w:rPr>
          <w:rFonts w:ascii="Arial" w:hAnsi="Arial" w:cs="Arial"/>
        </w:rPr>
        <w:t xml:space="preserve"> Kühl, </w:t>
      </w:r>
      <w:r>
        <w:rPr>
          <w:rFonts w:ascii="Arial" w:hAnsi="Arial" w:cs="Arial"/>
        </w:rPr>
        <w:t>P.</w:t>
      </w:r>
      <w:r w:rsidRPr="00724B65">
        <w:rPr>
          <w:rFonts w:ascii="Arial" w:hAnsi="Arial" w:cs="Arial"/>
        </w:rPr>
        <w:t xml:space="preserve"> </w:t>
      </w:r>
      <w:proofErr w:type="spellStart"/>
      <w:r w:rsidRPr="00724B65">
        <w:rPr>
          <w:rFonts w:ascii="Arial" w:hAnsi="Arial" w:cs="Arial"/>
        </w:rPr>
        <w:t>Strodtholz</w:t>
      </w:r>
      <w:proofErr w:type="spellEnd"/>
      <w:r w:rsidRPr="00724B65">
        <w:rPr>
          <w:rFonts w:ascii="Arial" w:hAnsi="Arial" w:cs="Arial"/>
        </w:rPr>
        <w:t xml:space="preserve">, </w:t>
      </w:r>
      <w:r>
        <w:rPr>
          <w:rFonts w:ascii="Arial" w:hAnsi="Arial" w:cs="Arial"/>
        </w:rPr>
        <w:t>&amp; A.</w:t>
      </w:r>
      <w:r w:rsidRPr="00724B65">
        <w:rPr>
          <w:rFonts w:ascii="Arial" w:hAnsi="Arial" w:cs="Arial"/>
        </w:rPr>
        <w:t xml:space="preserve"> </w:t>
      </w:r>
      <w:proofErr w:type="spellStart"/>
      <w:r w:rsidRPr="00724B65">
        <w:rPr>
          <w:rFonts w:ascii="Arial" w:hAnsi="Arial" w:cs="Arial"/>
        </w:rPr>
        <w:t>Taffertshofer</w:t>
      </w:r>
      <w:proofErr w:type="spellEnd"/>
      <w:r w:rsidRPr="00724B65">
        <w:rPr>
          <w:rFonts w:ascii="Arial" w:hAnsi="Arial" w:cs="Arial"/>
        </w:rPr>
        <w:t xml:space="preserve">, 413–34. </w:t>
      </w:r>
      <w:r w:rsidRPr="009B106F">
        <w:rPr>
          <w:rFonts w:ascii="Arial" w:hAnsi="Arial" w:cs="Arial"/>
        </w:rPr>
        <w:t>Wiesbaden: VS Verlag für Sozialwissenschaften.</w:t>
      </w:r>
    </w:p>
    <w:p w14:paraId="0637905B" w14:textId="77777777" w:rsidR="00B4345B" w:rsidRPr="00724B65" w:rsidRDefault="00B4345B" w:rsidP="00B4345B">
      <w:pPr>
        <w:tabs>
          <w:tab w:val="left" w:pos="709"/>
        </w:tabs>
        <w:spacing w:after="120" w:line="240" w:lineRule="auto"/>
        <w:ind w:left="567" w:hanging="567"/>
        <w:rPr>
          <w:rFonts w:ascii="Arial" w:hAnsi="Arial" w:cs="Arial"/>
          <w:lang w:val="en-US"/>
        </w:rPr>
      </w:pPr>
      <w:r w:rsidRPr="00B4345B">
        <w:rPr>
          <w:rFonts w:ascii="Arial" w:hAnsi="Arial" w:cs="Arial"/>
        </w:rPr>
        <w:t xml:space="preserve">Collins, R. (2004). Interaction Ritual Chains (Bd. 62). </w:t>
      </w:r>
      <w:r w:rsidRPr="00724B65">
        <w:rPr>
          <w:rFonts w:ascii="Arial" w:hAnsi="Arial" w:cs="Arial"/>
          <w:lang w:val="en-US"/>
        </w:rPr>
        <w:t>Princeton University Press.</w:t>
      </w:r>
    </w:p>
    <w:p w14:paraId="1CA9AB7B" w14:textId="77777777" w:rsidR="00B4345B" w:rsidRPr="00724B65" w:rsidRDefault="00B4345B" w:rsidP="00B4345B">
      <w:pPr>
        <w:tabs>
          <w:tab w:val="left" w:pos="709"/>
        </w:tabs>
        <w:spacing w:after="120" w:line="240" w:lineRule="auto"/>
        <w:ind w:left="567" w:hanging="567"/>
        <w:rPr>
          <w:rFonts w:ascii="Arial" w:hAnsi="Arial" w:cs="Arial"/>
          <w:lang w:val="en-US"/>
        </w:rPr>
      </w:pPr>
      <w:r w:rsidRPr="00724B65">
        <w:rPr>
          <w:rFonts w:ascii="Arial" w:hAnsi="Arial" w:cs="Arial"/>
          <w:lang w:val="en-US"/>
        </w:rPr>
        <w:t>Dalton, R. (2017). The Participation Gap: Social Status and Political Inequality. Oxford: Oxford University Press.</w:t>
      </w:r>
    </w:p>
    <w:p w14:paraId="34245EE8" w14:textId="77777777" w:rsidR="00B4345B" w:rsidRPr="00685378" w:rsidRDefault="00B4345B" w:rsidP="00B4345B">
      <w:pPr>
        <w:tabs>
          <w:tab w:val="left" w:pos="709"/>
        </w:tabs>
        <w:spacing w:after="120" w:line="240" w:lineRule="auto"/>
        <w:ind w:left="567" w:hanging="567"/>
        <w:rPr>
          <w:rFonts w:ascii="Arial" w:hAnsi="Arial" w:cs="Arial"/>
          <w:lang w:val="en-US"/>
        </w:rPr>
      </w:pPr>
      <w:r w:rsidRPr="00724B65">
        <w:rPr>
          <w:rFonts w:ascii="Arial" w:hAnsi="Arial" w:cs="Arial"/>
          <w:lang w:val="en-US"/>
        </w:rPr>
        <w:t xml:space="preserve">Della Porta, D. (ed.) (2018). Solidarity Mobilizations in the Refugee Crisis. </w:t>
      </w:r>
      <w:r w:rsidRPr="00685378">
        <w:rPr>
          <w:rFonts w:ascii="Arial" w:hAnsi="Arial" w:cs="Arial"/>
          <w:lang w:val="en-US"/>
        </w:rPr>
        <w:t>London: Palgrave.</w:t>
      </w:r>
    </w:p>
    <w:p w14:paraId="7259C039" w14:textId="77777777" w:rsidR="00B4345B" w:rsidRPr="00724B65" w:rsidRDefault="00B4345B" w:rsidP="00B4345B">
      <w:pPr>
        <w:tabs>
          <w:tab w:val="left" w:pos="709"/>
        </w:tabs>
        <w:spacing w:after="120" w:line="240" w:lineRule="auto"/>
        <w:ind w:left="567" w:hanging="567"/>
        <w:rPr>
          <w:rFonts w:ascii="Arial" w:hAnsi="Arial" w:cs="Arial"/>
          <w:lang w:val="en-US"/>
        </w:rPr>
      </w:pPr>
      <w:proofErr w:type="spellStart"/>
      <w:r w:rsidRPr="00724B65">
        <w:rPr>
          <w:rFonts w:ascii="Arial" w:hAnsi="Arial" w:cs="Arial"/>
          <w:lang w:val="en-US"/>
        </w:rPr>
        <w:t>Farinosi</w:t>
      </w:r>
      <w:proofErr w:type="spellEnd"/>
      <w:r w:rsidRPr="00724B65">
        <w:rPr>
          <w:rFonts w:ascii="Arial" w:hAnsi="Arial" w:cs="Arial"/>
          <w:lang w:val="en-US"/>
        </w:rPr>
        <w:t xml:space="preserve">, M, &amp; </w:t>
      </w:r>
      <w:proofErr w:type="spellStart"/>
      <w:r w:rsidRPr="00724B65">
        <w:rPr>
          <w:rFonts w:ascii="Arial" w:hAnsi="Arial" w:cs="Arial"/>
          <w:lang w:val="en-US"/>
        </w:rPr>
        <w:t>Treré</w:t>
      </w:r>
      <w:proofErr w:type="spellEnd"/>
      <w:r w:rsidRPr="00724B65">
        <w:rPr>
          <w:rFonts w:ascii="Arial" w:hAnsi="Arial" w:cs="Arial"/>
          <w:lang w:val="en-US"/>
        </w:rPr>
        <w:t xml:space="preserve">. E. (2014). Social movements, social </w:t>
      </w:r>
      <w:proofErr w:type="gramStart"/>
      <w:r w:rsidRPr="00724B65">
        <w:rPr>
          <w:rFonts w:ascii="Arial" w:hAnsi="Arial" w:cs="Arial"/>
          <w:lang w:val="en-US"/>
        </w:rPr>
        <w:t>media</w:t>
      </w:r>
      <w:proofErr w:type="gramEnd"/>
      <w:r w:rsidRPr="00724B65">
        <w:rPr>
          <w:rFonts w:ascii="Arial" w:hAnsi="Arial" w:cs="Arial"/>
          <w:lang w:val="en-US"/>
        </w:rPr>
        <w:t xml:space="preserve"> and post-disaster resilience: Towards an integrated system of local protest. In Theories, practices and examples for community and social informatics, edited von </w:t>
      </w:r>
      <w:r>
        <w:rPr>
          <w:rFonts w:ascii="Arial" w:hAnsi="Arial" w:cs="Arial"/>
          <w:lang w:val="en-US"/>
        </w:rPr>
        <w:t>L.</w:t>
      </w:r>
      <w:r w:rsidRPr="00724B65">
        <w:rPr>
          <w:rFonts w:ascii="Arial" w:hAnsi="Arial" w:cs="Arial"/>
          <w:lang w:val="en-US"/>
        </w:rPr>
        <w:t xml:space="preserve"> Stillman, </w:t>
      </w:r>
      <w:r>
        <w:rPr>
          <w:rFonts w:ascii="Arial" w:hAnsi="Arial" w:cs="Arial"/>
          <w:lang w:val="en-US"/>
        </w:rPr>
        <w:t>T.</w:t>
      </w:r>
      <w:r w:rsidRPr="00724B65">
        <w:rPr>
          <w:rFonts w:ascii="Arial" w:hAnsi="Arial" w:cs="Arial"/>
          <w:lang w:val="en-US"/>
        </w:rPr>
        <w:t xml:space="preserve"> Denison, </w:t>
      </w:r>
      <w:r>
        <w:rPr>
          <w:rFonts w:ascii="Arial" w:hAnsi="Arial" w:cs="Arial"/>
          <w:lang w:val="en-US"/>
        </w:rPr>
        <w:t>&amp; M.</w:t>
      </w:r>
      <w:r w:rsidRPr="00724B65">
        <w:rPr>
          <w:rFonts w:ascii="Arial" w:hAnsi="Arial" w:cs="Arial"/>
          <w:lang w:val="en-US"/>
        </w:rPr>
        <w:t xml:space="preserve"> </w:t>
      </w:r>
      <w:proofErr w:type="spellStart"/>
      <w:r w:rsidRPr="00724B65">
        <w:rPr>
          <w:rFonts w:ascii="Arial" w:hAnsi="Arial" w:cs="Arial"/>
          <w:lang w:val="en-US"/>
        </w:rPr>
        <w:t>Sarrica</w:t>
      </w:r>
      <w:proofErr w:type="spellEnd"/>
      <w:r w:rsidRPr="00724B65">
        <w:rPr>
          <w:rFonts w:ascii="Arial" w:hAnsi="Arial" w:cs="Arial"/>
          <w:lang w:val="en-US"/>
        </w:rPr>
        <w:t xml:space="preserve">. Clayton, Vic: Monash University Publishing. </w:t>
      </w:r>
    </w:p>
    <w:p w14:paraId="783031A8" w14:textId="77777777" w:rsidR="00B4345B" w:rsidRPr="00685378" w:rsidRDefault="00B4345B" w:rsidP="00B4345B">
      <w:pPr>
        <w:tabs>
          <w:tab w:val="left" w:pos="709"/>
        </w:tabs>
        <w:spacing w:after="120" w:line="240" w:lineRule="auto"/>
        <w:ind w:left="567" w:hanging="567"/>
        <w:rPr>
          <w:rFonts w:ascii="Arial" w:hAnsi="Arial" w:cs="Arial"/>
        </w:rPr>
      </w:pPr>
      <w:r w:rsidRPr="00724B65">
        <w:rPr>
          <w:rFonts w:ascii="Arial" w:hAnsi="Arial" w:cs="Arial"/>
          <w:lang w:val="en-US"/>
        </w:rPr>
        <w:t xml:space="preserve">Garcia, D., &amp; </w:t>
      </w:r>
      <w:proofErr w:type="spellStart"/>
      <w:r w:rsidRPr="00724B65">
        <w:rPr>
          <w:rFonts w:ascii="Arial" w:hAnsi="Arial" w:cs="Arial"/>
          <w:lang w:val="en-US"/>
        </w:rPr>
        <w:t>Rimé</w:t>
      </w:r>
      <w:proofErr w:type="spellEnd"/>
      <w:r w:rsidRPr="00724B65">
        <w:rPr>
          <w:rFonts w:ascii="Arial" w:hAnsi="Arial" w:cs="Arial"/>
          <w:lang w:val="en-US"/>
        </w:rPr>
        <w:t xml:space="preserve">, B. (2019). Collective Emotions and Social Resilience in the Digital Traces After a Terrorist Attack. </w:t>
      </w:r>
      <w:r w:rsidRPr="00685378">
        <w:rPr>
          <w:rFonts w:ascii="Arial" w:hAnsi="Arial" w:cs="Arial"/>
        </w:rPr>
        <w:t>Psychological Science, 30(4), 617–628.</w:t>
      </w:r>
    </w:p>
    <w:p w14:paraId="6BEDEA0C" w14:textId="77777777" w:rsidR="00B4345B" w:rsidRPr="00724B65" w:rsidRDefault="00B4345B" w:rsidP="00B4345B">
      <w:pPr>
        <w:tabs>
          <w:tab w:val="left" w:pos="709"/>
        </w:tabs>
        <w:spacing w:after="120" w:line="240" w:lineRule="auto"/>
        <w:ind w:left="567" w:hanging="567"/>
        <w:rPr>
          <w:rFonts w:ascii="Arial" w:hAnsi="Arial" w:cs="Arial"/>
        </w:rPr>
      </w:pPr>
      <w:r w:rsidRPr="00724B65">
        <w:rPr>
          <w:rFonts w:ascii="Arial" w:hAnsi="Arial" w:cs="Arial"/>
        </w:rPr>
        <w:t xml:space="preserve">Grande, E., &amp; Hutter, S. (2020). Corona und die Zivilgesellschaft. WZB-Blog Corona und die gesellschaftlichen Folgen. </w:t>
      </w:r>
      <w:hyperlink r:id="rId4" w:history="1">
        <w:r w:rsidRPr="007C6465">
          <w:rPr>
            <w:rStyle w:val="Hyperlink"/>
            <w:rFonts w:ascii="Arial" w:hAnsi="Arial" w:cs="Arial"/>
          </w:rPr>
          <w:t>https://www.wzb.eu/de/forschung/corona-und-die-folgen/corona-und-die-zivilgesellschaft</w:t>
        </w:r>
      </w:hyperlink>
      <w:r>
        <w:rPr>
          <w:rFonts w:ascii="Arial" w:hAnsi="Arial" w:cs="Arial"/>
        </w:rPr>
        <w:t xml:space="preserve"> </w:t>
      </w:r>
      <w:r w:rsidRPr="00724B65">
        <w:rPr>
          <w:rFonts w:ascii="Arial" w:hAnsi="Arial" w:cs="Arial"/>
        </w:rPr>
        <w:t xml:space="preserve"> </w:t>
      </w:r>
    </w:p>
    <w:p w14:paraId="2138BD7B" w14:textId="77777777" w:rsidR="00B4345B" w:rsidRPr="00685378" w:rsidRDefault="00B4345B" w:rsidP="00B4345B">
      <w:pPr>
        <w:tabs>
          <w:tab w:val="left" w:pos="709"/>
        </w:tabs>
        <w:spacing w:after="120" w:line="240" w:lineRule="auto"/>
        <w:ind w:left="567" w:hanging="567"/>
        <w:rPr>
          <w:rFonts w:ascii="Arial" w:hAnsi="Arial" w:cs="Arial"/>
        </w:rPr>
      </w:pPr>
      <w:proofErr w:type="spellStart"/>
      <w:r w:rsidRPr="00724B65">
        <w:rPr>
          <w:rFonts w:ascii="Arial" w:hAnsi="Arial" w:cs="Arial"/>
          <w:lang w:val="en-US"/>
        </w:rPr>
        <w:t>Heckhausen</w:t>
      </w:r>
      <w:proofErr w:type="spellEnd"/>
      <w:r w:rsidRPr="00724B65">
        <w:rPr>
          <w:rFonts w:ascii="Arial" w:hAnsi="Arial" w:cs="Arial"/>
          <w:lang w:val="en-US"/>
        </w:rPr>
        <w:t xml:space="preserve">, J., &amp; Schulz, R. (1995). A life-span theory of control. </w:t>
      </w:r>
      <w:r w:rsidRPr="00685378">
        <w:rPr>
          <w:rFonts w:ascii="Arial" w:hAnsi="Arial" w:cs="Arial"/>
        </w:rPr>
        <w:t>Psychological Review, 102, 184-304.</w:t>
      </w:r>
    </w:p>
    <w:p w14:paraId="18C9D98C" w14:textId="77777777" w:rsidR="00B4345B" w:rsidRPr="00724B65" w:rsidRDefault="00B4345B" w:rsidP="00B4345B">
      <w:pPr>
        <w:tabs>
          <w:tab w:val="left" w:pos="709"/>
        </w:tabs>
        <w:spacing w:after="120" w:line="240" w:lineRule="auto"/>
        <w:ind w:left="567" w:hanging="567"/>
        <w:rPr>
          <w:rFonts w:ascii="Arial" w:hAnsi="Arial" w:cs="Arial"/>
        </w:rPr>
      </w:pPr>
      <w:r w:rsidRPr="00724B65">
        <w:rPr>
          <w:rFonts w:ascii="Arial" w:hAnsi="Arial" w:cs="Arial"/>
        </w:rPr>
        <w:t xml:space="preserve">Heisig, J. P. &amp; König, C. (2020). Wie und warum die gesundheitlichen Folgen der Pandemie vom sozialen Status abhängen. WZB-Blog Corona und die gesellschaftlichen Folgen. </w:t>
      </w:r>
      <w:hyperlink r:id="rId5" w:history="1">
        <w:r w:rsidRPr="007C6465">
          <w:rPr>
            <w:rStyle w:val="Hyperlink"/>
            <w:rFonts w:ascii="Arial" w:hAnsi="Arial" w:cs="Arial"/>
          </w:rPr>
          <w:t>https://www.wzb.eu/de/forschung/corona-und-die-folgen/wie-und-warum-die-gesundheitlichen-folgen-der-pandemie-vom-sozialen-status-abhaengen</w:t>
        </w:r>
      </w:hyperlink>
      <w:r>
        <w:rPr>
          <w:rFonts w:ascii="Arial" w:hAnsi="Arial" w:cs="Arial"/>
        </w:rPr>
        <w:t xml:space="preserve"> </w:t>
      </w:r>
      <w:r w:rsidRPr="00724B65">
        <w:rPr>
          <w:rFonts w:ascii="Arial" w:hAnsi="Arial" w:cs="Arial"/>
        </w:rPr>
        <w:t xml:space="preserve"> </w:t>
      </w:r>
    </w:p>
    <w:p w14:paraId="12AB9CBD" w14:textId="77777777" w:rsidR="00B4345B" w:rsidRPr="00724B65" w:rsidRDefault="00B4345B" w:rsidP="00B4345B">
      <w:pPr>
        <w:tabs>
          <w:tab w:val="left" w:pos="709"/>
        </w:tabs>
        <w:spacing w:after="120" w:line="240" w:lineRule="auto"/>
        <w:ind w:left="567" w:hanging="567"/>
        <w:rPr>
          <w:rFonts w:ascii="Arial" w:hAnsi="Arial" w:cs="Arial"/>
          <w:lang w:val="en-US"/>
        </w:rPr>
      </w:pPr>
      <w:r w:rsidRPr="00724B65">
        <w:rPr>
          <w:rFonts w:ascii="Arial" w:hAnsi="Arial" w:cs="Arial"/>
        </w:rPr>
        <w:t>Hutter, S., &amp; Kriesi, H. (</w:t>
      </w:r>
      <w:proofErr w:type="spellStart"/>
      <w:r w:rsidRPr="00724B65">
        <w:rPr>
          <w:rFonts w:ascii="Arial" w:hAnsi="Arial" w:cs="Arial"/>
        </w:rPr>
        <w:t>eds</w:t>
      </w:r>
      <w:proofErr w:type="spellEnd"/>
      <w:r w:rsidRPr="00724B65">
        <w:rPr>
          <w:rFonts w:ascii="Arial" w:hAnsi="Arial" w:cs="Arial"/>
        </w:rPr>
        <w:t xml:space="preserve">.) </w:t>
      </w:r>
      <w:r w:rsidRPr="00724B65">
        <w:rPr>
          <w:rFonts w:ascii="Arial" w:hAnsi="Arial" w:cs="Arial"/>
          <w:lang w:val="en-US"/>
        </w:rPr>
        <w:t>(2019). European Party Politics in Times of Crisis. Cambridge: Cambridge University Press.</w:t>
      </w:r>
    </w:p>
    <w:p w14:paraId="5CA8C012" w14:textId="77777777" w:rsidR="00B4345B" w:rsidRPr="00724B65" w:rsidRDefault="00B4345B" w:rsidP="00B4345B">
      <w:pPr>
        <w:tabs>
          <w:tab w:val="left" w:pos="709"/>
        </w:tabs>
        <w:spacing w:after="120" w:line="240" w:lineRule="auto"/>
        <w:ind w:left="567" w:hanging="567"/>
        <w:rPr>
          <w:rFonts w:ascii="Arial" w:hAnsi="Arial" w:cs="Arial"/>
          <w:lang w:val="en-US"/>
        </w:rPr>
      </w:pPr>
      <w:r w:rsidRPr="00724B65">
        <w:rPr>
          <w:rFonts w:ascii="Arial" w:hAnsi="Arial" w:cs="Arial"/>
          <w:lang w:val="en-US"/>
        </w:rPr>
        <w:t>Jasper, J. M. (2014). Constructing Indignation: Anger Dynamics in Protest Movements. Emotion Review, 6(3), 208–213.</w:t>
      </w:r>
    </w:p>
    <w:p w14:paraId="50DD6255" w14:textId="77777777" w:rsidR="00B4345B" w:rsidRPr="00724B65" w:rsidRDefault="00B4345B" w:rsidP="00B4345B">
      <w:pPr>
        <w:tabs>
          <w:tab w:val="left" w:pos="709"/>
        </w:tabs>
        <w:spacing w:after="120" w:line="240" w:lineRule="auto"/>
        <w:ind w:left="567" w:hanging="567"/>
        <w:rPr>
          <w:rFonts w:ascii="Arial" w:hAnsi="Arial" w:cs="Arial"/>
          <w:lang w:val="en-US"/>
        </w:rPr>
      </w:pPr>
      <w:r w:rsidRPr="00724B65">
        <w:rPr>
          <w:rFonts w:ascii="Arial" w:hAnsi="Arial" w:cs="Arial"/>
          <w:lang w:val="en-US"/>
        </w:rPr>
        <w:t>Jensen-Campbell, L. A., Knack, J. M., &amp; Gomez, H. L. (2010). The psychology of nice people. Social and Personality Psychology Compass, 4/11, 1042-1056.</w:t>
      </w:r>
    </w:p>
    <w:p w14:paraId="58123104" w14:textId="77777777" w:rsidR="00B4345B" w:rsidRPr="00724B65" w:rsidRDefault="00B4345B" w:rsidP="00B4345B">
      <w:pPr>
        <w:tabs>
          <w:tab w:val="left" w:pos="709"/>
        </w:tabs>
        <w:spacing w:after="120" w:line="240" w:lineRule="auto"/>
        <w:ind w:left="567" w:hanging="567"/>
        <w:rPr>
          <w:rFonts w:ascii="Arial" w:hAnsi="Arial" w:cs="Arial"/>
          <w:lang w:val="en-US"/>
        </w:rPr>
      </w:pPr>
      <w:r w:rsidRPr="00B4345B">
        <w:rPr>
          <w:rFonts w:ascii="Arial" w:hAnsi="Arial" w:cs="Arial"/>
          <w:lang w:val="en-US"/>
        </w:rPr>
        <w:t xml:space="preserve">John, O. P., Naumann, L. P., &amp; Soto, C. J. (2008). </w:t>
      </w:r>
      <w:r w:rsidRPr="00724B65">
        <w:rPr>
          <w:rFonts w:ascii="Arial" w:hAnsi="Arial" w:cs="Arial"/>
          <w:lang w:val="en-US"/>
        </w:rPr>
        <w:t xml:space="preserve">Paradigm shift to the integrative Big Five trait taxonomy: History, measurement, and conceptual issues. In O. P. John, R. W. Robins, &amp; L. A. </w:t>
      </w:r>
      <w:proofErr w:type="spellStart"/>
      <w:r w:rsidRPr="00724B65">
        <w:rPr>
          <w:rFonts w:ascii="Arial" w:hAnsi="Arial" w:cs="Arial"/>
          <w:lang w:val="en-US"/>
        </w:rPr>
        <w:t>Pervin</w:t>
      </w:r>
      <w:proofErr w:type="spellEnd"/>
      <w:r w:rsidRPr="00724B65">
        <w:rPr>
          <w:rFonts w:ascii="Arial" w:hAnsi="Arial" w:cs="Arial"/>
          <w:lang w:val="en-US"/>
        </w:rPr>
        <w:t xml:space="preserve"> (Eds.), Handbook of personality: Theory and research (3rd ed., pp. 114-158). New York, NY: Guilford Press.</w:t>
      </w:r>
    </w:p>
    <w:p w14:paraId="4CEF53FF" w14:textId="77777777" w:rsidR="00B4345B" w:rsidRPr="009B106F" w:rsidRDefault="00B4345B" w:rsidP="00B4345B">
      <w:pPr>
        <w:tabs>
          <w:tab w:val="left" w:pos="709"/>
        </w:tabs>
        <w:spacing w:after="120" w:line="240" w:lineRule="auto"/>
        <w:ind w:left="567" w:hanging="567"/>
        <w:rPr>
          <w:rFonts w:ascii="Arial" w:hAnsi="Arial" w:cs="Arial"/>
          <w:lang w:val="en-US"/>
        </w:rPr>
      </w:pPr>
      <w:proofErr w:type="spellStart"/>
      <w:r w:rsidRPr="00724B65">
        <w:rPr>
          <w:rFonts w:ascii="Arial" w:hAnsi="Arial" w:cs="Arial"/>
          <w:lang w:val="en-US"/>
        </w:rPr>
        <w:t>Luft</w:t>
      </w:r>
      <w:proofErr w:type="spellEnd"/>
      <w:r w:rsidRPr="00724B65">
        <w:rPr>
          <w:rFonts w:ascii="Arial" w:hAnsi="Arial" w:cs="Arial"/>
          <w:lang w:val="en-US"/>
        </w:rPr>
        <w:t xml:space="preserve">, R. E. (2009). Beyond Disaster Exceptionalism: Social Movement Developments in New Orleans after Hurricane Katrina. </w:t>
      </w:r>
      <w:r w:rsidRPr="009B106F">
        <w:rPr>
          <w:rFonts w:ascii="Arial" w:hAnsi="Arial" w:cs="Arial"/>
          <w:lang w:val="en-US"/>
        </w:rPr>
        <w:t>American Quarterly 61 (3): 499–527.</w:t>
      </w:r>
    </w:p>
    <w:p w14:paraId="14764CE9" w14:textId="77777777" w:rsidR="00B4345B" w:rsidRPr="00B4345B" w:rsidRDefault="00B4345B" w:rsidP="00B4345B">
      <w:pPr>
        <w:tabs>
          <w:tab w:val="left" w:pos="709"/>
        </w:tabs>
        <w:spacing w:after="120" w:line="240" w:lineRule="auto"/>
        <w:ind w:left="567" w:hanging="567"/>
        <w:rPr>
          <w:rFonts w:ascii="Arial" w:hAnsi="Arial" w:cs="Arial"/>
        </w:rPr>
      </w:pPr>
      <w:proofErr w:type="spellStart"/>
      <w:r w:rsidRPr="00724B65">
        <w:rPr>
          <w:rFonts w:ascii="Arial" w:hAnsi="Arial" w:cs="Arial"/>
          <w:lang w:val="en-US"/>
        </w:rPr>
        <w:t>Páez</w:t>
      </w:r>
      <w:proofErr w:type="spellEnd"/>
      <w:r w:rsidRPr="00724B65">
        <w:rPr>
          <w:rFonts w:ascii="Arial" w:hAnsi="Arial" w:cs="Arial"/>
          <w:lang w:val="en-US"/>
        </w:rPr>
        <w:t xml:space="preserve">, </w:t>
      </w:r>
      <w:r>
        <w:rPr>
          <w:rFonts w:ascii="Arial" w:hAnsi="Arial" w:cs="Arial"/>
          <w:lang w:val="en-US"/>
        </w:rPr>
        <w:t>D.</w:t>
      </w:r>
      <w:r w:rsidRPr="00724B65">
        <w:rPr>
          <w:rFonts w:ascii="Arial" w:hAnsi="Arial" w:cs="Arial"/>
          <w:lang w:val="en-US"/>
        </w:rPr>
        <w:t xml:space="preserve">, Basabe, N., </w:t>
      </w:r>
      <w:proofErr w:type="spellStart"/>
      <w:r w:rsidRPr="00724B65">
        <w:rPr>
          <w:rFonts w:ascii="Arial" w:hAnsi="Arial" w:cs="Arial"/>
          <w:lang w:val="en-US"/>
        </w:rPr>
        <w:t>Ubillos</w:t>
      </w:r>
      <w:proofErr w:type="spellEnd"/>
      <w:r w:rsidRPr="00724B65">
        <w:rPr>
          <w:rFonts w:ascii="Arial" w:hAnsi="Arial" w:cs="Arial"/>
          <w:lang w:val="en-US"/>
        </w:rPr>
        <w:t xml:space="preserve">, S., &amp; González-Castro, J. L. (2007). Social Sharing, Participation in Demonstrations, Emotional Climate, and Coping with Collective Violence After the March 11th Madrid Bombings. </w:t>
      </w:r>
      <w:r w:rsidRPr="00B4345B">
        <w:rPr>
          <w:rFonts w:ascii="Arial" w:hAnsi="Arial" w:cs="Arial"/>
        </w:rPr>
        <w:t xml:space="preserve">Journal </w:t>
      </w:r>
      <w:proofErr w:type="spellStart"/>
      <w:r w:rsidRPr="00B4345B">
        <w:rPr>
          <w:rFonts w:ascii="Arial" w:hAnsi="Arial" w:cs="Arial"/>
        </w:rPr>
        <w:t>of</w:t>
      </w:r>
      <w:proofErr w:type="spellEnd"/>
      <w:r w:rsidRPr="00B4345B">
        <w:rPr>
          <w:rFonts w:ascii="Arial" w:hAnsi="Arial" w:cs="Arial"/>
        </w:rPr>
        <w:t xml:space="preserve"> Social </w:t>
      </w:r>
      <w:proofErr w:type="spellStart"/>
      <w:r w:rsidRPr="00B4345B">
        <w:rPr>
          <w:rFonts w:ascii="Arial" w:hAnsi="Arial" w:cs="Arial"/>
        </w:rPr>
        <w:t>Issues</w:t>
      </w:r>
      <w:proofErr w:type="spellEnd"/>
      <w:r w:rsidRPr="00B4345B">
        <w:rPr>
          <w:rFonts w:ascii="Arial" w:hAnsi="Arial" w:cs="Arial"/>
        </w:rPr>
        <w:t>, 63(2), 323–337.</w:t>
      </w:r>
    </w:p>
    <w:p w14:paraId="19713002" w14:textId="77777777" w:rsidR="00B4345B" w:rsidRPr="00724B65" w:rsidRDefault="00B4345B" w:rsidP="00B4345B">
      <w:pPr>
        <w:tabs>
          <w:tab w:val="left" w:pos="709"/>
        </w:tabs>
        <w:spacing w:after="120" w:line="240" w:lineRule="auto"/>
        <w:ind w:left="567" w:hanging="567"/>
        <w:rPr>
          <w:rFonts w:ascii="Arial" w:hAnsi="Arial" w:cs="Arial"/>
        </w:rPr>
      </w:pPr>
      <w:r w:rsidRPr="00724B65">
        <w:rPr>
          <w:rFonts w:ascii="Arial" w:hAnsi="Arial" w:cs="Arial"/>
        </w:rPr>
        <w:t xml:space="preserve">Priller, E., Alscher, M. </w:t>
      </w:r>
      <w:proofErr w:type="spellStart"/>
      <w:r w:rsidRPr="00724B65">
        <w:rPr>
          <w:rFonts w:ascii="Arial" w:hAnsi="Arial" w:cs="Arial"/>
        </w:rPr>
        <w:t>Droß</w:t>
      </w:r>
      <w:proofErr w:type="spellEnd"/>
      <w:r w:rsidRPr="00724B65">
        <w:rPr>
          <w:rFonts w:ascii="Arial" w:hAnsi="Arial" w:cs="Arial"/>
        </w:rPr>
        <w:t xml:space="preserve">, P. M., Paul, F., </w:t>
      </w:r>
      <w:proofErr w:type="spellStart"/>
      <w:r w:rsidRPr="00724B65">
        <w:rPr>
          <w:rFonts w:ascii="Arial" w:hAnsi="Arial" w:cs="Arial"/>
        </w:rPr>
        <w:t>Poldrack</w:t>
      </w:r>
      <w:proofErr w:type="spellEnd"/>
      <w:r w:rsidRPr="00724B65">
        <w:rPr>
          <w:rFonts w:ascii="Arial" w:hAnsi="Arial" w:cs="Arial"/>
        </w:rPr>
        <w:t xml:space="preserve">, J., Schmeißer, C., &amp; </w:t>
      </w:r>
      <w:proofErr w:type="spellStart"/>
      <w:r w:rsidRPr="00724B65">
        <w:rPr>
          <w:rFonts w:ascii="Arial" w:hAnsi="Arial" w:cs="Arial"/>
        </w:rPr>
        <w:t>Waitkus</w:t>
      </w:r>
      <w:proofErr w:type="spellEnd"/>
      <w:r w:rsidRPr="00724B65">
        <w:rPr>
          <w:rFonts w:ascii="Arial" w:hAnsi="Arial" w:cs="Arial"/>
        </w:rPr>
        <w:t xml:space="preserve">, N. (2012). Dritte-Sektor-Organisationen heute: Eigene Ansprüche und ökonomische Herausforderungen. Ergebnisse einer </w:t>
      </w:r>
      <w:proofErr w:type="spellStart"/>
      <w:r w:rsidRPr="00724B65">
        <w:rPr>
          <w:rFonts w:ascii="Arial" w:hAnsi="Arial" w:cs="Arial"/>
        </w:rPr>
        <w:t>Organisationsbefragun</w:t>
      </w:r>
      <w:proofErr w:type="spellEnd"/>
      <w:r w:rsidRPr="00724B65">
        <w:rPr>
          <w:rFonts w:ascii="Arial" w:hAnsi="Arial" w:cs="Arial"/>
        </w:rPr>
        <w:t xml:space="preserve">. </w:t>
      </w:r>
      <w:proofErr w:type="spellStart"/>
      <w:r w:rsidRPr="00724B65">
        <w:rPr>
          <w:rFonts w:ascii="Arial" w:hAnsi="Arial" w:cs="Arial"/>
        </w:rPr>
        <w:t>No</w:t>
      </w:r>
      <w:proofErr w:type="spellEnd"/>
      <w:r w:rsidRPr="00724B65">
        <w:rPr>
          <w:rFonts w:ascii="Arial" w:hAnsi="Arial" w:cs="Arial"/>
        </w:rPr>
        <w:t xml:space="preserve">. SP IV 2012-402. WZB </w:t>
      </w:r>
      <w:proofErr w:type="spellStart"/>
      <w:r w:rsidRPr="00724B65">
        <w:rPr>
          <w:rFonts w:ascii="Arial" w:hAnsi="Arial" w:cs="Arial"/>
        </w:rPr>
        <w:t>Discussion</w:t>
      </w:r>
      <w:proofErr w:type="spellEnd"/>
      <w:r w:rsidRPr="00724B65">
        <w:rPr>
          <w:rFonts w:ascii="Arial" w:hAnsi="Arial" w:cs="Arial"/>
        </w:rPr>
        <w:t xml:space="preserve"> Paper. Berlin: </w:t>
      </w:r>
      <w:r>
        <w:rPr>
          <w:rFonts w:ascii="Arial" w:hAnsi="Arial" w:cs="Arial"/>
        </w:rPr>
        <w:t>WZB</w:t>
      </w:r>
      <w:r w:rsidRPr="00724B65">
        <w:rPr>
          <w:rFonts w:ascii="Arial" w:hAnsi="Arial" w:cs="Arial"/>
        </w:rPr>
        <w:t>.</w:t>
      </w:r>
    </w:p>
    <w:p w14:paraId="264B7A65" w14:textId="77777777" w:rsidR="00B4345B" w:rsidRPr="00B4345B" w:rsidRDefault="00B4345B" w:rsidP="00B4345B">
      <w:pPr>
        <w:tabs>
          <w:tab w:val="left" w:pos="709"/>
        </w:tabs>
        <w:spacing w:after="120" w:line="240" w:lineRule="auto"/>
        <w:ind w:left="567" w:hanging="567"/>
        <w:rPr>
          <w:rFonts w:ascii="Arial" w:hAnsi="Arial" w:cs="Arial"/>
        </w:rPr>
      </w:pPr>
      <w:proofErr w:type="spellStart"/>
      <w:r w:rsidRPr="00724B65">
        <w:rPr>
          <w:rFonts w:ascii="Arial" w:hAnsi="Arial" w:cs="Arial"/>
        </w:rPr>
        <w:lastRenderedPageBreak/>
        <w:t>Salmela</w:t>
      </w:r>
      <w:proofErr w:type="spellEnd"/>
      <w:r w:rsidRPr="00724B65">
        <w:rPr>
          <w:rFonts w:ascii="Arial" w:hAnsi="Arial" w:cs="Arial"/>
        </w:rPr>
        <w:t xml:space="preserve">, M., &amp; von Scheve, C. (2017). </w:t>
      </w:r>
      <w:r w:rsidRPr="00724B65">
        <w:rPr>
          <w:rFonts w:ascii="Arial" w:hAnsi="Arial" w:cs="Arial"/>
          <w:lang w:val="en-US"/>
        </w:rPr>
        <w:t xml:space="preserve">Emotional roots of right-wing political populism. </w:t>
      </w:r>
      <w:r w:rsidRPr="00B4345B">
        <w:rPr>
          <w:rFonts w:ascii="Arial" w:hAnsi="Arial" w:cs="Arial"/>
        </w:rPr>
        <w:t>Social Science Information, 56(4), 567–595.</w:t>
      </w:r>
    </w:p>
    <w:p w14:paraId="38A33AFA" w14:textId="77777777" w:rsidR="00B4345B" w:rsidRPr="00724B65" w:rsidRDefault="00B4345B" w:rsidP="00B4345B">
      <w:pPr>
        <w:tabs>
          <w:tab w:val="left" w:pos="709"/>
        </w:tabs>
        <w:spacing w:after="120" w:line="240" w:lineRule="auto"/>
        <w:ind w:left="567" w:hanging="567"/>
        <w:rPr>
          <w:rFonts w:ascii="Arial" w:hAnsi="Arial" w:cs="Arial"/>
          <w:lang w:val="en-US"/>
        </w:rPr>
      </w:pPr>
      <w:r w:rsidRPr="00724B65">
        <w:rPr>
          <w:rFonts w:ascii="Arial" w:hAnsi="Arial" w:cs="Arial"/>
        </w:rPr>
        <w:t xml:space="preserve">Schiffauer, W., Eilert, A., &amp; Rudloff, M. (Hrsg.) So schaffen wir das – eine Zivilgesellschaft im Aufbruch: 90 wegweisende Projekte mit Geflüchteten. </w:t>
      </w:r>
      <w:r w:rsidRPr="00724B65">
        <w:rPr>
          <w:rFonts w:ascii="Arial" w:hAnsi="Arial" w:cs="Arial"/>
          <w:lang w:val="en-US"/>
        </w:rPr>
        <w:t>Bielefeld: transcript Verlag.</w:t>
      </w:r>
    </w:p>
    <w:p w14:paraId="691A4AD4" w14:textId="77777777" w:rsidR="00B4345B" w:rsidRPr="00724B65" w:rsidRDefault="00B4345B" w:rsidP="00B4345B">
      <w:pPr>
        <w:tabs>
          <w:tab w:val="left" w:pos="709"/>
        </w:tabs>
        <w:spacing w:after="120" w:line="240" w:lineRule="auto"/>
        <w:ind w:left="567" w:hanging="567"/>
        <w:rPr>
          <w:rFonts w:ascii="Arial" w:hAnsi="Arial" w:cs="Arial"/>
          <w:lang w:val="en-US"/>
        </w:rPr>
      </w:pPr>
      <w:r w:rsidRPr="00724B65">
        <w:rPr>
          <w:rFonts w:ascii="Arial" w:hAnsi="Arial" w:cs="Arial"/>
          <w:lang w:val="en-US"/>
        </w:rPr>
        <w:t xml:space="preserve">Solnit, R. (2010). A Paradise Built in Hell: The Extraordinary Communities That Arise in Disasters. </w:t>
      </w:r>
      <w:proofErr w:type="spellStart"/>
      <w:r w:rsidRPr="00724B65">
        <w:rPr>
          <w:rFonts w:ascii="Arial" w:hAnsi="Arial" w:cs="Arial"/>
          <w:lang w:val="en-US"/>
        </w:rPr>
        <w:t>Newo</w:t>
      </w:r>
      <w:proofErr w:type="spellEnd"/>
      <w:r w:rsidRPr="00724B65">
        <w:rPr>
          <w:rFonts w:ascii="Arial" w:hAnsi="Arial" w:cs="Arial"/>
          <w:lang w:val="en-US"/>
        </w:rPr>
        <w:t xml:space="preserve"> York: Penguin.</w:t>
      </w:r>
    </w:p>
    <w:p w14:paraId="30B5A831" w14:textId="77777777" w:rsidR="00B4345B" w:rsidRPr="00724B65" w:rsidRDefault="00B4345B" w:rsidP="00B4345B">
      <w:pPr>
        <w:tabs>
          <w:tab w:val="left" w:pos="709"/>
        </w:tabs>
        <w:spacing w:after="120" w:line="240" w:lineRule="auto"/>
        <w:ind w:left="567" w:hanging="567"/>
        <w:rPr>
          <w:rFonts w:ascii="Arial" w:hAnsi="Arial" w:cs="Arial"/>
          <w:lang w:val="en-US"/>
        </w:rPr>
      </w:pPr>
      <w:r w:rsidRPr="00724B65">
        <w:rPr>
          <w:rFonts w:ascii="Arial" w:hAnsi="Arial" w:cs="Arial"/>
        </w:rPr>
        <w:t xml:space="preserve">Specht, J., </w:t>
      </w:r>
      <w:proofErr w:type="spellStart"/>
      <w:r w:rsidRPr="00724B65">
        <w:rPr>
          <w:rFonts w:ascii="Arial" w:hAnsi="Arial" w:cs="Arial"/>
        </w:rPr>
        <w:t>Bleidorn</w:t>
      </w:r>
      <w:proofErr w:type="spellEnd"/>
      <w:r w:rsidRPr="00724B65">
        <w:rPr>
          <w:rFonts w:ascii="Arial" w:hAnsi="Arial" w:cs="Arial"/>
        </w:rPr>
        <w:t xml:space="preserve">, W., </w:t>
      </w:r>
      <w:proofErr w:type="spellStart"/>
      <w:r w:rsidRPr="00724B65">
        <w:rPr>
          <w:rFonts w:ascii="Arial" w:hAnsi="Arial" w:cs="Arial"/>
        </w:rPr>
        <w:t>Denissen</w:t>
      </w:r>
      <w:proofErr w:type="spellEnd"/>
      <w:r w:rsidRPr="00724B65">
        <w:rPr>
          <w:rFonts w:ascii="Arial" w:hAnsi="Arial" w:cs="Arial"/>
        </w:rPr>
        <w:t xml:space="preserve">, J. J. A., Hennecke, M., </w:t>
      </w:r>
      <w:proofErr w:type="spellStart"/>
      <w:r w:rsidRPr="00724B65">
        <w:rPr>
          <w:rFonts w:ascii="Arial" w:hAnsi="Arial" w:cs="Arial"/>
        </w:rPr>
        <w:t>Hutteman</w:t>
      </w:r>
      <w:proofErr w:type="spellEnd"/>
      <w:r w:rsidRPr="00724B65">
        <w:rPr>
          <w:rFonts w:ascii="Arial" w:hAnsi="Arial" w:cs="Arial"/>
        </w:rPr>
        <w:t xml:space="preserve">, R., Kandler, C., Luhmann, M., Orth, U., Reitz, A. K., &amp; Zimmermann, J. (2014). </w:t>
      </w:r>
      <w:r w:rsidRPr="00724B65">
        <w:rPr>
          <w:rFonts w:ascii="Arial" w:hAnsi="Arial" w:cs="Arial"/>
          <w:lang w:val="en-US"/>
        </w:rPr>
        <w:t>What drives adult personality development? A comparison of theoretical perspectives and empirical evidence. European Journal of Personality, 28, 216-230.</w:t>
      </w:r>
    </w:p>
    <w:p w14:paraId="44023F56" w14:textId="77777777" w:rsidR="00B4345B" w:rsidRPr="00724B65" w:rsidRDefault="00B4345B" w:rsidP="00B4345B">
      <w:pPr>
        <w:tabs>
          <w:tab w:val="left" w:pos="709"/>
        </w:tabs>
        <w:spacing w:after="120" w:line="240" w:lineRule="auto"/>
        <w:ind w:left="567" w:hanging="567"/>
        <w:rPr>
          <w:rFonts w:ascii="Arial" w:hAnsi="Arial" w:cs="Arial"/>
          <w:lang w:val="en-US"/>
        </w:rPr>
      </w:pPr>
      <w:r w:rsidRPr="00B4345B">
        <w:rPr>
          <w:rFonts w:ascii="Arial" w:hAnsi="Arial" w:cs="Arial"/>
          <w:lang w:val="en-US"/>
        </w:rPr>
        <w:t xml:space="preserve">Specht, J., </w:t>
      </w:r>
      <w:proofErr w:type="spellStart"/>
      <w:r w:rsidRPr="00B4345B">
        <w:rPr>
          <w:rFonts w:ascii="Arial" w:hAnsi="Arial" w:cs="Arial"/>
          <w:lang w:val="en-US"/>
        </w:rPr>
        <w:t>Egloff</w:t>
      </w:r>
      <w:proofErr w:type="spellEnd"/>
      <w:r w:rsidRPr="00B4345B">
        <w:rPr>
          <w:rFonts w:ascii="Arial" w:hAnsi="Arial" w:cs="Arial"/>
          <w:lang w:val="en-US"/>
        </w:rPr>
        <w:t xml:space="preserve">, B., &amp; </w:t>
      </w:r>
      <w:proofErr w:type="spellStart"/>
      <w:r w:rsidRPr="00B4345B">
        <w:rPr>
          <w:rFonts w:ascii="Arial" w:hAnsi="Arial" w:cs="Arial"/>
          <w:lang w:val="en-US"/>
        </w:rPr>
        <w:t>Schmukle</w:t>
      </w:r>
      <w:proofErr w:type="spellEnd"/>
      <w:r w:rsidRPr="00B4345B">
        <w:rPr>
          <w:rFonts w:ascii="Arial" w:hAnsi="Arial" w:cs="Arial"/>
          <w:lang w:val="en-US"/>
        </w:rPr>
        <w:t xml:space="preserve">, S. C. (2011). </w:t>
      </w:r>
      <w:r w:rsidRPr="00724B65">
        <w:rPr>
          <w:rFonts w:ascii="Arial" w:hAnsi="Arial" w:cs="Arial"/>
          <w:lang w:val="en-US"/>
        </w:rPr>
        <w:t>The benefits of believing in chance or fate: External locus of control as a protective factor for coping with the death of a spouse. Social Psychological and Personality Science, 2, 132-137.</w:t>
      </w:r>
    </w:p>
    <w:p w14:paraId="2544906C" w14:textId="77777777" w:rsidR="00B4345B" w:rsidRPr="00724B65" w:rsidRDefault="00B4345B" w:rsidP="00B4345B">
      <w:pPr>
        <w:tabs>
          <w:tab w:val="left" w:pos="709"/>
        </w:tabs>
        <w:spacing w:after="120" w:line="240" w:lineRule="auto"/>
        <w:ind w:left="567" w:hanging="567"/>
        <w:rPr>
          <w:rFonts w:ascii="Arial" w:hAnsi="Arial" w:cs="Arial"/>
          <w:lang w:val="en-US"/>
        </w:rPr>
      </w:pPr>
      <w:r w:rsidRPr="00724B65">
        <w:rPr>
          <w:rFonts w:ascii="Arial" w:hAnsi="Arial" w:cs="Arial"/>
          <w:lang w:val="en-US"/>
        </w:rPr>
        <w:t>Uba, K., &amp; Kousis, M. (2018). Constituency Groups of Alternative Action Organizations During Hard Times: A Comparison at the Solidarity Orientation and Country Levels. American Behavioral Scientist 62 (6): 816–36.</w:t>
      </w:r>
    </w:p>
    <w:p w14:paraId="52655254" w14:textId="77777777" w:rsidR="00B4345B" w:rsidRPr="00724B65" w:rsidRDefault="00B4345B" w:rsidP="00B4345B">
      <w:pPr>
        <w:tabs>
          <w:tab w:val="left" w:pos="709"/>
        </w:tabs>
        <w:spacing w:after="120" w:line="240" w:lineRule="auto"/>
        <w:ind w:left="567" w:hanging="567"/>
        <w:rPr>
          <w:rFonts w:ascii="Arial" w:hAnsi="Arial" w:cs="Arial"/>
          <w:lang w:val="en-US"/>
        </w:rPr>
      </w:pPr>
      <w:proofErr w:type="spellStart"/>
      <w:r w:rsidRPr="00724B65">
        <w:rPr>
          <w:rFonts w:ascii="Arial" w:hAnsi="Arial" w:cs="Arial"/>
          <w:lang w:val="en-US"/>
        </w:rPr>
        <w:t>Woosnam</w:t>
      </w:r>
      <w:proofErr w:type="spellEnd"/>
      <w:r w:rsidRPr="00724B65">
        <w:rPr>
          <w:rFonts w:ascii="Arial" w:hAnsi="Arial" w:cs="Arial"/>
          <w:lang w:val="en-US"/>
        </w:rPr>
        <w:t>, K. M., &amp; Norman, W. C. (2010). Measuring Residents’ Emotional Solidarity with Tourists: Scale Development of Durkheim’s Theoretical Constructs. Journal of Travel Research, 49(3), 365–380.</w:t>
      </w:r>
    </w:p>
    <w:p w14:paraId="14144B37" w14:textId="77777777" w:rsidR="00B4345B" w:rsidRPr="00724B65" w:rsidRDefault="00B4345B" w:rsidP="00B4345B">
      <w:pPr>
        <w:tabs>
          <w:tab w:val="left" w:pos="709"/>
        </w:tabs>
        <w:ind w:left="567" w:hanging="567"/>
        <w:rPr>
          <w:rFonts w:ascii="Arial" w:hAnsi="Arial" w:cs="Arial"/>
        </w:rPr>
      </w:pPr>
    </w:p>
    <w:p w14:paraId="699649A1" w14:textId="77777777" w:rsidR="00B4345B" w:rsidRPr="00724B65" w:rsidRDefault="00B4345B" w:rsidP="00B4345B">
      <w:pPr>
        <w:tabs>
          <w:tab w:val="left" w:pos="709"/>
        </w:tabs>
        <w:ind w:left="567" w:hanging="567"/>
        <w:rPr>
          <w:rFonts w:ascii="Arial" w:hAnsi="Arial" w:cs="Arial"/>
        </w:rPr>
      </w:pPr>
    </w:p>
    <w:p w14:paraId="45939EB9" w14:textId="77777777" w:rsidR="00B4345B" w:rsidRPr="00724B65" w:rsidRDefault="00B4345B" w:rsidP="00B4345B">
      <w:pPr>
        <w:tabs>
          <w:tab w:val="left" w:pos="709"/>
        </w:tabs>
        <w:ind w:left="567" w:hanging="567"/>
        <w:rPr>
          <w:rFonts w:ascii="Arial" w:hAnsi="Arial" w:cs="Arial"/>
        </w:rPr>
      </w:pPr>
    </w:p>
    <w:p w14:paraId="4B3CF500" w14:textId="77777777" w:rsidR="00B4345B" w:rsidRPr="00724B65" w:rsidRDefault="00B4345B" w:rsidP="00B4345B">
      <w:pPr>
        <w:tabs>
          <w:tab w:val="left" w:pos="709"/>
        </w:tabs>
        <w:ind w:left="567" w:hanging="567"/>
        <w:rPr>
          <w:rFonts w:ascii="Arial" w:hAnsi="Arial" w:cs="Arial"/>
        </w:rPr>
      </w:pPr>
    </w:p>
    <w:p w14:paraId="7C8FDA03" w14:textId="77777777" w:rsidR="00B4345B" w:rsidRPr="00724B65" w:rsidRDefault="00B4345B" w:rsidP="00B4345B">
      <w:pPr>
        <w:tabs>
          <w:tab w:val="left" w:pos="709"/>
        </w:tabs>
        <w:ind w:left="567" w:hanging="567"/>
        <w:rPr>
          <w:rFonts w:ascii="Arial" w:hAnsi="Arial" w:cs="Arial"/>
        </w:rPr>
      </w:pPr>
    </w:p>
    <w:p w14:paraId="35AB9D33" w14:textId="77777777" w:rsidR="00B4345B" w:rsidRPr="00724B65" w:rsidRDefault="00B4345B" w:rsidP="00B4345B">
      <w:pPr>
        <w:tabs>
          <w:tab w:val="left" w:pos="709"/>
        </w:tabs>
        <w:ind w:left="567" w:hanging="567"/>
        <w:rPr>
          <w:rFonts w:ascii="Arial" w:hAnsi="Arial" w:cs="Arial"/>
        </w:rPr>
      </w:pPr>
    </w:p>
    <w:p w14:paraId="13BA8DF7" w14:textId="77777777" w:rsidR="00B4345B" w:rsidRPr="00724B65" w:rsidRDefault="00B4345B" w:rsidP="00B4345B">
      <w:pPr>
        <w:tabs>
          <w:tab w:val="left" w:pos="709"/>
        </w:tabs>
        <w:ind w:left="567" w:hanging="567"/>
        <w:rPr>
          <w:rFonts w:ascii="Arial" w:hAnsi="Arial" w:cs="Arial"/>
        </w:rPr>
      </w:pPr>
    </w:p>
    <w:p w14:paraId="76E4E770" w14:textId="77777777" w:rsidR="00B4345B" w:rsidRPr="00724B65" w:rsidRDefault="00B4345B" w:rsidP="00B4345B">
      <w:pPr>
        <w:tabs>
          <w:tab w:val="left" w:pos="709"/>
        </w:tabs>
        <w:ind w:left="567" w:hanging="567"/>
        <w:rPr>
          <w:rFonts w:ascii="Arial" w:hAnsi="Arial" w:cs="Arial"/>
        </w:rPr>
      </w:pPr>
    </w:p>
    <w:p w14:paraId="468FA20F" w14:textId="77777777" w:rsidR="00B4345B" w:rsidRPr="00724B65" w:rsidRDefault="00B4345B" w:rsidP="00B4345B">
      <w:pPr>
        <w:tabs>
          <w:tab w:val="left" w:pos="709"/>
        </w:tabs>
        <w:ind w:left="567" w:hanging="567"/>
        <w:rPr>
          <w:rFonts w:ascii="Arial" w:hAnsi="Arial" w:cs="Arial"/>
        </w:rPr>
      </w:pPr>
    </w:p>
    <w:p w14:paraId="0F48E25C" w14:textId="77777777" w:rsidR="00B4345B" w:rsidRPr="00724B65" w:rsidRDefault="00B4345B" w:rsidP="00B4345B">
      <w:pPr>
        <w:tabs>
          <w:tab w:val="left" w:pos="709"/>
        </w:tabs>
        <w:ind w:left="567" w:hanging="567"/>
        <w:rPr>
          <w:rFonts w:ascii="Arial" w:hAnsi="Arial" w:cs="Arial"/>
        </w:rPr>
      </w:pPr>
    </w:p>
    <w:p w14:paraId="7A208CC7" w14:textId="77777777" w:rsidR="00B4345B" w:rsidRPr="00724B65" w:rsidRDefault="00B4345B" w:rsidP="00B4345B">
      <w:pPr>
        <w:tabs>
          <w:tab w:val="left" w:pos="709"/>
        </w:tabs>
        <w:ind w:left="567" w:hanging="567"/>
        <w:rPr>
          <w:rFonts w:ascii="Arial" w:hAnsi="Arial" w:cs="Arial"/>
        </w:rPr>
      </w:pPr>
    </w:p>
    <w:p w14:paraId="4DC5B8AF" w14:textId="77777777" w:rsidR="00B4345B" w:rsidRPr="00724B65" w:rsidRDefault="00B4345B" w:rsidP="00B4345B">
      <w:pPr>
        <w:tabs>
          <w:tab w:val="left" w:pos="709"/>
        </w:tabs>
        <w:spacing w:after="120" w:line="240" w:lineRule="auto"/>
        <w:ind w:left="567" w:hanging="567"/>
        <w:rPr>
          <w:rFonts w:ascii="Arial" w:hAnsi="Arial" w:cs="Arial"/>
        </w:rPr>
      </w:pPr>
    </w:p>
    <w:p w14:paraId="25CB5CA2" w14:textId="3D5AF7D4" w:rsidR="006D42A6" w:rsidRPr="009C2121" w:rsidRDefault="006D42A6">
      <w:pPr>
        <w:rPr>
          <w:sz w:val="20"/>
          <w:szCs w:val="20"/>
        </w:rPr>
      </w:pPr>
    </w:p>
    <w:sectPr w:rsidR="006D42A6" w:rsidRPr="009C21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K0MDI2MAJShsaGhko6SsGpxcWZ+XkgBca1AJYfVmwsAAAA"/>
  </w:docVars>
  <w:rsids>
    <w:rsidRoot w:val="009C2121"/>
    <w:rsid w:val="003948CD"/>
    <w:rsid w:val="00620E85"/>
    <w:rsid w:val="006D42A6"/>
    <w:rsid w:val="009C2121"/>
    <w:rsid w:val="00B4345B"/>
    <w:rsid w:val="00BA3A66"/>
    <w:rsid w:val="00BD0D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2EAF"/>
  <w15:chartTrackingRefBased/>
  <w15:docId w15:val="{00D93BE8-AEC3-4C86-B1AD-9E8F93A1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C212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2121"/>
    <w:rPr>
      <w:rFonts w:ascii="Segoe UI" w:hAnsi="Segoe UI" w:cs="Segoe UI"/>
      <w:sz w:val="18"/>
      <w:szCs w:val="18"/>
    </w:rPr>
  </w:style>
  <w:style w:type="character" w:styleId="Hyperlink">
    <w:name w:val="Hyperlink"/>
    <w:basedOn w:val="Absatz-Standardschriftart"/>
    <w:uiPriority w:val="99"/>
    <w:unhideWhenUsed/>
    <w:rsid w:val="00B434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590619">
      <w:bodyDiv w:val="1"/>
      <w:marLeft w:val="0"/>
      <w:marRight w:val="0"/>
      <w:marTop w:val="0"/>
      <w:marBottom w:val="0"/>
      <w:divBdr>
        <w:top w:val="none" w:sz="0" w:space="0" w:color="auto"/>
        <w:left w:val="none" w:sz="0" w:space="0" w:color="auto"/>
        <w:bottom w:val="none" w:sz="0" w:space="0" w:color="auto"/>
        <w:right w:val="none" w:sz="0" w:space="0" w:color="auto"/>
      </w:divBdr>
    </w:div>
    <w:div w:id="817575506">
      <w:bodyDiv w:val="1"/>
      <w:marLeft w:val="0"/>
      <w:marRight w:val="0"/>
      <w:marTop w:val="0"/>
      <w:marBottom w:val="0"/>
      <w:divBdr>
        <w:top w:val="none" w:sz="0" w:space="0" w:color="auto"/>
        <w:left w:val="none" w:sz="0" w:space="0" w:color="auto"/>
        <w:bottom w:val="none" w:sz="0" w:space="0" w:color="auto"/>
        <w:right w:val="none" w:sz="0" w:space="0" w:color="auto"/>
      </w:divBdr>
    </w:div>
    <w:div w:id="137712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zb.eu/de/forschung/corona-und-die-folgen/wie-und-warum-die-gesundheitlichen-folgen-der-pandemie-vom-sozialen-status-abhaengen" TargetMode="External"/><Relationship Id="rId4" Type="http://schemas.openxmlformats.org/officeDocument/2006/relationships/hyperlink" Target="https://www.wzb.eu/de/forschung/corona-und-die-folgen/corona-und-die-zivilgesellschaf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1043</Words>
  <Characters>6578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 Hutter</dc:creator>
  <cp:keywords/>
  <dc:description/>
  <cp:lastModifiedBy>Swen Hutter</cp:lastModifiedBy>
  <cp:revision>2</cp:revision>
  <dcterms:created xsi:type="dcterms:W3CDTF">2020-05-04T19:55:00Z</dcterms:created>
  <dcterms:modified xsi:type="dcterms:W3CDTF">2020-05-04T19:55:00Z</dcterms:modified>
</cp:coreProperties>
</file>