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bottom w:val="single" w:sz="4" w:space="1" w:color="000000"/>
        </w:pBdr>
        <w:rPr/>
      </w:pPr>
      <w:r>
        <w:rPr>
          <w:b/>
          <w:bCs/>
        </w:rPr>
        <w:t>Continuing Professional Development Log</w:t>
      </w:r>
    </w:p>
    <w:p>
      <w:pPr>
        <w:pStyle w:val="Normal"/>
        <w:rPr/>
      </w:pPr>
      <w:r>
        <w:rPr/>
        <w:t>Name: Zheng Xu</w:t>
      </w:r>
    </w:p>
    <w:p>
      <w:pPr>
        <w:pStyle w:val="Normal"/>
        <w:rPr/>
      </w:pPr>
      <w:r>
        <w:rPr/>
        <w:t>Student ID: 11314389</w:t>
      </w:r>
    </w:p>
    <w:p>
      <w:pPr>
        <w:pStyle w:val="Normal"/>
        <w:rPr/>
      </w:pPr>
      <w:r>
        <w:rPr>
          <w:b/>
          <w:bCs/>
          <w:color w:val="2F5496"/>
        </w:rPr>
        <w:t xml:space="preserve">Current and recent CPD activity: </w:t>
      </w:r>
    </w:p>
    <w:tbl>
      <w:tblPr>
        <w:tblStyle w:val="TableGrid"/>
        <w:tblW w:w="1544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2"/>
        <w:gridCol w:w="10349"/>
        <w:gridCol w:w="1418"/>
        <w:gridCol w:w="1416"/>
      </w:tblGrid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en-GB" w:eastAsia="en-US" w:bidi="ar-SA"/>
              </w:rPr>
              <w:t>CPD Activity Title</w:t>
            </w:r>
          </w:p>
        </w:tc>
        <w:tc>
          <w:tcPr>
            <w:tcW w:w="103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en-GB" w:eastAsia="en-US" w:bidi="ar-SA"/>
              </w:rPr>
              <w:t>Description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en-GB" w:eastAsia="en-US" w:bidi="ar-SA"/>
              </w:rPr>
              <w:t>Dates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en-GB" w:eastAsia="en-US" w:bidi="ar-SA"/>
              </w:rPr>
              <w:t>CPD Hours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Project planning and CPD setup</w:t>
            </w:r>
          </w:p>
        </w:tc>
        <w:tc>
          <w:tcPr>
            <w:tcW w:w="103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Reviewed the EEEN30330 handbook requirements for weekly project meetings, progress review meetings, project logbook evidence, self-directed learning and skill development. Set up the project plan, risk assessment tracking and a habit of recording supervisor actions and technical progress.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06 Oct-20 Oct 2025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6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MI-BCI literature review</w:t>
            </w:r>
          </w:p>
        </w:tc>
        <w:tc>
          <w:tcPr>
            <w:tcW w:w="103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Studied motor imagery BCI literature, CTNet/EEGTransformer approaches, EEGNet, CSP-based baselines and reinforcement-learning BCI work. This developed the background needed to justify the hybrid classifier and closed-loop controller choices in the report.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Oct-Nov 2025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16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EEG preprocessing with MNE-Python</w:t>
            </w:r>
          </w:p>
        </w:tc>
        <w:tc>
          <w:tcPr>
            <w:tcW w:w="103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Learned how to load PhysioNet and BCI Competition data, map labels, epoch motor-imagery trials, apply the 8-30 Hz bandpass filter, normalise data and maintain participant-wise train/test splits. This supported reproducible EEG classification experiments.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Nov-Dec 2025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18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PyTorch CTNet and benchmark evaluation</w:t>
            </w:r>
          </w:p>
        </w:tc>
        <w:tc>
          <w:tcPr>
            <w:tcW w:w="103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Implemented and adapted the CTNet/EEGTransformer model in PyTorch, including training loops, evaluation reports and saved checkpoints. Benchmarks were run on BCI IV-2a, BCI IV-2b and the larger PhysioNet motor-imagery dataset.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Dec 2025-Jan 2026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24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Transfer learning and channel reduction</w:t>
            </w:r>
          </w:p>
        </w:tc>
        <w:tc>
          <w:tcPr>
            <w:tcW w:w="103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Developed subject-specific fine-tuning, filter/ICA comparisons and channel-reduction experiments. The work linked technical decisions to deployment constraints, including an OpenBCI-oriented 8-channel setup and the observed importance of motor-cortex channels such as C3.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Feb-Mar 2026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28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RL control and simulation demos</w:t>
            </w:r>
          </w:p>
        </w:tc>
        <w:tc>
          <w:tcPr>
            <w:tcW w:w="103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Studied DQN control, reward shaping, Gym/PyBullet simulation and trajectory diagnostics. I reviewed the three available demonstration media: gym_arm.gif as a 500x500, 10-frame, 5 s simulation demo, and rl_arm.gif in both 03_Experiments and 05_Documentation as identical 500x500, 20-frame, 10 s RL trajectory animations. This improved how I explain controller behaviour in the final demonstration.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Mar-Apr 2026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22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BrainFlow, OpenBCI and SO-101 integration</w:t>
            </w:r>
          </w:p>
        </w:tc>
        <w:tc>
          <w:tcPr>
            <w:tcW w:w="103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Learned the BrainFlow acquisition workflow, synthetic-board testing, online buffer handling, classifier-to-policy action mapping and serial control of the SO-101 arm. Safety-related learning included workspace limits, velocity limiting, clear operating zones and immediate power-off access.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Apr 2026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16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Report, repository and presentation preparation</w:t>
            </w:r>
          </w:p>
        </w:tc>
        <w:tc>
          <w:tcPr>
            <w:tcW w:w="103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Prepared final-report evidence, repository structure, README material, figures and appendices. This activity focused on academic integrity, clear referencing, traceable software artefacts and a concise technical narrative for the final demonstration/presentation.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Apr-May 2026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14</w:t>
            </w:r>
          </w:p>
        </w:tc>
      </w:tr>
    </w:tbl>
    <w:p>
      <w:pPr>
        <w:pStyle w:val="Normal"/>
        <w:rPr>
          <w:b/>
          <w:bCs/>
          <w:color w:val="2F5496"/>
        </w:rPr>
      </w:pPr>
      <w:r>
        <w:rPr/>
      </w:r>
    </w:p>
    <w:p>
      <w:pPr>
        <w:pStyle w:val="Normal"/>
        <w:rPr/>
      </w:pPr>
      <w:r>
        <w:rPr>
          <w:b/>
          <w:bCs/>
          <w:color w:val="2F5496"/>
        </w:rPr>
        <w:t xml:space="preserve">Planned and Future CPD activity: </w:t>
      </w:r>
    </w:p>
    <w:tbl>
      <w:tblPr>
        <w:tblStyle w:val="TableGrid"/>
        <w:tblW w:w="1544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2"/>
        <w:gridCol w:w="9356"/>
        <w:gridCol w:w="2411"/>
        <w:gridCol w:w="1416"/>
      </w:tblGrid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en-GB" w:eastAsia="en-US" w:bidi="ar-SA"/>
              </w:rPr>
              <w:t>CPD Activity Title</w:t>
            </w:r>
          </w:p>
        </w:tc>
        <w:tc>
          <w:tcPr>
            <w:tcW w:w="93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en-GB" w:eastAsia="en-US" w:bidi="ar-SA"/>
              </w:rPr>
              <w:t>Description</w:t>
            </w:r>
          </w:p>
        </w:tc>
        <w:tc>
          <w:tcPr>
            <w:tcW w:w="24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en-GB" w:eastAsia="en-US" w:bidi="ar-SA"/>
              </w:rPr>
              <w:t>Skills addressed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en-GB" w:eastAsia="en-US" w:bidi="ar-SA"/>
              </w:rPr>
              <w:t>Dates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Final demonstration rehearsal</w:t>
            </w:r>
          </w:p>
        </w:tc>
        <w:tc>
          <w:tcPr>
            <w:tcW w:w="93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Practise the 15-minute final presentation, rehearse responses to questions about classifier accuracy, simulation-only validation, ethical constraints and the RL demonstration media.</w:t>
            </w:r>
          </w:p>
        </w:tc>
        <w:tc>
          <w:tcPr>
            <w:tcW w:w="24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Technical communication; evidence-based explanation; time management.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05 May-15 May 2026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Repository release and reproducibility check</w:t>
            </w:r>
          </w:p>
        </w:tc>
        <w:tc>
          <w:tcPr>
            <w:tcW w:w="93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Clean the public repository evidence so that a technically competent reader can inspect the code structure, run key scripts and understand which artefacts are authored work versus third-party reference material.</w:t>
            </w:r>
          </w:p>
        </w:tc>
        <w:tc>
          <w:tcPr>
            <w:tcW w:w="24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Version control; reproducible research; professional software documentation.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May 2026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Ethically approved OpenBCI user study</w:t>
            </w:r>
          </w:p>
        </w:tc>
        <w:tc>
          <w:tcPr>
            <w:tcW w:w="93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Prepare a live-user validation plan with participant information, consent, risk controls and a small 8-channel calibration protocol before collecting any new human EEG data.</w:t>
            </w:r>
          </w:p>
        </w:tc>
        <w:tc>
          <w:tcPr>
            <w:tcW w:w="24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Research ethics; participant protocol design; EEG acquisition practice.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Summer-Autumn 2026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Real-time 8-channel inference path</w:t>
            </w:r>
          </w:p>
        </w:tc>
        <w:tc>
          <w:tcPr>
            <w:tcW w:w="93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Build and test a native low-channel online decoder using the exact OpenBCI channel order, sampling rate, filtering and normalisation expected during deployment. Compare shorter decision windows to reduce command latency.</w:t>
            </w:r>
          </w:p>
        </w:tc>
        <w:tc>
          <w:tcPr>
            <w:tcW w:w="24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Online signal processing; model adaptation; latency analysis.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Summer 2026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Extended SO-101 closed-loop manipulation</w:t>
            </w:r>
          </w:p>
        </w:tc>
        <w:tc>
          <w:tcPr>
            <w:tcW w:w="93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Extend the present planar reaching controller toward richer SO-101 tasks only after validating live decoding and emergency-stop controls. Use the current 4-direction policy as the safety baseline.</w:t>
            </w:r>
          </w:p>
        </w:tc>
        <w:tc>
          <w:tcPr>
            <w:tcW w:w="24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Robotics control; reinforcement-learning generalisation; safety validation.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Arial"/>
                <w:kern w:val="2"/>
                <w:sz w:val="17"/>
                <w:szCs w:val="17"/>
                <w:lang w:val="en-GB" w:eastAsia="en-US" w:bidi="ar-SA"/>
              </w:rPr>
              <w:t>Future MEng/research work</w:t>
            </w:r>
          </w:p>
        </w:tc>
      </w:tr>
    </w:tbl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orient="landscape" w:w="16838" w:h="11906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2"/>
      <w:sz w:val="22"/>
      <w:szCs w:val="22"/>
      <w:lang w:val="en-GB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CJK SC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CJK SC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e945b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Application>LibreOffice/24.2.7.2$Linux_X86_64 LibreOffice_project/420$Build-2</Application>
  <AppVersion>15.0000</AppVersion>
  <Pages>1</Pages>
  <Words>578</Words>
  <Characters>3959</Characters>
  <CharactersWithSpaces>4474</CharactersWithSpaces>
  <Paragraphs>65</Paragraphs>
  <Company>University of Manchester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2024-04-29T10:32:00Z</dcterms:created>
  <dc:creator>Michael O'Toole</dc:creator>
  <dc:description/>
  <dc:language>zh-CN</dc:language>
  <cp:lastModifiedBy/>
  <dcterms:modified xsi:type="dcterms:W3CDTF">2026-04-30T22:11:24Z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