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">
  <w:body>
    <w:p>
      <w:pPr>
        <w:pBdr>
          <w:bottom w:val="single" w:sz="4" w:space="1" w:color="auto"/>
        </w:pBdr>
      </w:pPr>
      <w:r>
        <w:rPr>
          <w:b/>
          <w:bCs/>
        </w:rPr>
        <w:t xml:space="preserve">Continuing Professional Development Log</w:t>
      </w:r>
    </w:p>
    <w:p>
      <w:r>
        <w:t xml:space="preserve">Name: Zheng Xu</w:t>
      </w:r>
    </w:p>
    <w:p>
      <w:r>
        <w:t xml:space="preserve">Student ID: 11314389</w:t>
      </w:r>
    </w:p>
    <w:p/>
    <w:p>
      <w:r>
        <w:rPr>
          <w:b/>
          <w:bCs/>
          <w:color w:val="2F5496"/>
        </w:rPr>
        <w:t xml:space="preserve">Current and recent CPD activity: 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2263"/>
        <w:gridCol w:w="10348"/>
        <w:gridCol w:w="1418"/>
        <w:gridCol w:w="1417"/>
      </w:tblGrid>
      <w:tr>
        <w:tc>
          <w:tcPr>
            <w:tcW w:w="2263" w:type="dxa"/>
          </w:tcPr>
          <w:p>
            <w:r>
              <w:rPr>
                <w:b/>
                <w:bCs/>
              </w:rPr>
              <w:t xml:space="preserve">CPD Activity Title</w:t>
            </w:r>
          </w:p>
        </w:tc>
        <w:tc>
          <w:tcPr>
            <w:tcW w:w="10348" w:type="dxa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1418" w:type="dxa"/>
          </w:tcPr>
          <w:p>
            <w:r>
              <w:rPr>
                <w:b/>
                <w:bCs/>
              </w:rPr>
              <w:t xml:space="preserve">Dates</w:t>
            </w:r>
          </w:p>
        </w:tc>
        <w:tc>
          <w:tcPr>
            <w:tcW w:w="1417" w:type="dxa"/>
          </w:tcPr>
          <w:p>
            <w:r>
              <w:rPr>
                <w:b/>
                <w:bCs/>
              </w:rPr>
              <w:t xml:space="preserve">CPD Hours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Project planning and CPD setup</w:t>
            </w:r>
          </w:p>
        </w:tc>
        <w:tc>
          <w:tcPr>
            <w:tcW w:w="10348" w:type="dxa"/>
          </w:tcPr>
          <w:p>
            <w:r>
              <w:rPr>
                <w:sz w:val="17"/>
                <w:szCs w:val="17"/>
              </w:rPr>
              <w:t xml:space="preserve">Reviewed the EEEN30330 handbook requirements for weekly project meetings, progress review meetings, project logbook evidence, self-directed learning and skill development. Set up the project plan, risk assessment tracking and a habit of recording supervisor actions and technical progress.</w:t>
            </w:r>
          </w:p>
        </w:tc>
        <w:tc>
          <w:tcPr>
            <w:tcW w:w="1418" w:type="dxa"/>
          </w:tcPr>
          <w:p>
            <w:r>
              <w:rPr>
                <w:sz w:val="17"/>
                <w:szCs w:val="17"/>
              </w:rPr>
              <w:t xml:space="preserve">06 Oct-20 Oct 2025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MI-BCI literature review</w:t>
            </w:r>
          </w:p>
        </w:tc>
        <w:tc>
          <w:tcPr>
            <w:tcW w:w="10348" w:type="dxa"/>
          </w:tcPr>
          <w:p>
            <w:r>
              <w:rPr>
                <w:sz w:val="17"/>
                <w:szCs w:val="17"/>
              </w:rPr>
              <w:t xml:space="preserve">Studied motor imagery BCI literature, CTNet/EEGTransformer approaches, EEGNet, CSP-based baselines and reinforcement-learning BCI work. This developed the background needed to justify the hybrid classifier and closed-loop controller choices in the report.</w:t>
            </w:r>
          </w:p>
        </w:tc>
        <w:tc>
          <w:tcPr>
            <w:tcW w:w="1418" w:type="dxa"/>
          </w:tcPr>
          <w:p>
            <w:r>
              <w:rPr>
                <w:sz w:val="17"/>
                <w:szCs w:val="17"/>
              </w:rPr>
              <w:t xml:space="preserve">Oct-Nov 2025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EEG preprocessing with MNE-Python</w:t>
            </w:r>
          </w:p>
        </w:tc>
        <w:tc>
          <w:tcPr>
            <w:tcW w:w="10348" w:type="dxa"/>
          </w:tcPr>
          <w:p>
            <w:r>
              <w:rPr>
                <w:sz w:val="17"/>
                <w:szCs w:val="17"/>
              </w:rPr>
              <w:t xml:space="preserve">Learned how to load PhysioNet and BCI Competition data, map labels, epoch motor-imagery trials, apply the 8-30 Hz bandpass filter, normalise data and maintain participant-wise train/test splits. This supported reproducible EEG classification experiments.</w:t>
            </w:r>
          </w:p>
        </w:tc>
        <w:tc>
          <w:tcPr>
            <w:tcW w:w="1418" w:type="dxa"/>
          </w:tcPr>
          <w:p>
            <w:r>
              <w:rPr>
                <w:sz w:val="17"/>
                <w:szCs w:val="17"/>
              </w:rPr>
              <w:t xml:space="preserve">Nov-Dec 2025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PyTorch CTNet and benchmark evaluation</w:t>
            </w:r>
          </w:p>
        </w:tc>
        <w:tc>
          <w:tcPr>
            <w:tcW w:w="10348" w:type="dxa"/>
          </w:tcPr>
          <w:p>
            <w:r>
              <w:rPr>
                <w:sz w:val="17"/>
                <w:szCs w:val="17"/>
              </w:rPr>
              <w:t xml:space="preserve">Implemented and adapted the CTNet/EEGTransformer model in PyTorch, including training loops, evaluation reports and saved checkpoints. Benchmarks were run on BCI IV-2a, BCI IV-2b and the larger PhysioNet motor-imagery dataset.</w:t>
            </w:r>
          </w:p>
        </w:tc>
        <w:tc>
          <w:tcPr>
            <w:tcW w:w="1418" w:type="dxa"/>
          </w:tcPr>
          <w:p>
            <w:r>
              <w:rPr>
                <w:sz w:val="17"/>
                <w:szCs w:val="17"/>
              </w:rPr>
              <w:t xml:space="preserve">Dec 2025-Jan 2026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Transfer learning and channel reduction</w:t>
            </w:r>
          </w:p>
        </w:tc>
        <w:tc>
          <w:tcPr>
            <w:tcW w:w="10348" w:type="dxa"/>
          </w:tcPr>
          <w:p>
            <w:r>
              <w:rPr>
                <w:sz w:val="17"/>
                <w:szCs w:val="17"/>
              </w:rPr>
              <w:t xml:space="preserve">Developed subject-specific fine-tuning, filter/ICA comparisons and channel-reduction experiments. The work linked technical decisions to deployment constraints, including an OpenBCI-oriented 8-channel setup and the observed importance of motor-cortex channels such as C3.</w:t>
            </w:r>
          </w:p>
        </w:tc>
        <w:tc>
          <w:tcPr>
            <w:tcW w:w="1418" w:type="dxa"/>
          </w:tcPr>
          <w:p>
            <w:r>
              <w:rPr>
                <w:sz w:val="17"/>
                <w:szCs w:val="17"/>
              </w:rPr>
              <w:t xml:space="preserve">Feb-Mar 2026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28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RL control and simulation demos</w:t>
            </w:r>
          </w:p>
        </w:tc>
        <w:tc>
          <w:tcPr>
            <w:tcW w:w="10348" w:type="dxa"/>
          </w:tcPr>
          <w:p>
            <w:r>
              <w:rPr>
                <w:sz w:val="17"/>
                <w:szCs w:val="17"/>
              </w:rPr>
              <w:t xml:space="preserve">Studied DQN control, reward shaping, Gym/PyBullet simulation and trajectory diagnostics. I reviewed the three available demonstration media: gym_arm.gif as a 500x500, 10-frame, 5 s simulation demo, and rl_arm.gif in both 03_Experiments and 05_Documentation as identical 500x500, 20-frame, 10 s RL trajectory animations. This improved how I explain controller behaviour in the final demonstration.</w:t>
            </w:r>
          </w:p>
        </w:tc>
        <w:tc>
          <w:tcPr>
            <w:tcW w:w="1418" w:type="dxa"/>
          </w:tcPr>
          <w:p>
            <w:r>
              <w:rPr>
                <w:sz w:val="17"/>
                <w:szCs w:val="17"/>
              </w:rPr>
              <w:t xml:space="preserve">Mar-Apr 2026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BrainFlow, OpenBCI and SO-101 integration</w:t>
            </w:r>
          </w:p>
        </w:tc>
        <w:tc>
          <w:tcPr>
            <w:tcW w:w="10348" w:type="dxa"/>
          </w:tcPr>
          <w:p>
            <w:r>
              <w:rPr>
                <w:sz w:val="17"/>
                <w:szCs w:val="17"/>
              </w:rPr>
              <w:t xml:space="preserve">Learned the BrainFlow acquisition workflow, synthetic-board testing, online buffer handling, classifier-to-policy action mapping and serial control of the SO-101 arm. Safety-related learning included workspace limits, velocity limiting, clear operating zones and immediate power-off access.</w:t>
            </w:r>
          </w:p>
        </w:tc>
        <w:tc>
          <w:tcPr>
            <w:tcW w:w="1418" w:type="dxa"/>
          </w:tcPr>
          <w:p>
            <w:r>
              <w:rPr>
                <w:sz w:val="17"/>
                <w:szCs w:val="17"/>
              </w:rPr>
              <w:t xml:space="preserve">Apr 2026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Report, repository and presentation preparation</w:t>
            </w:r>
          </w:p>
        </w:tc>
        <w:tc>
          <w:tcPr>
            <w:tcW w:w="10348" w:type="dxa"/>
          </w:tcPr>
          <w:p>
            <w:r>
              <w:rPr>
                <w:sz w:val="17"/>
                <w:szCs w:val="17"/>
              </w:rPr>
              <w:t xml:space="preserve">Prepared final-report evidence, repository structure, README material, figures and appendices. This activity focused on academic integrity, clear referencing, traceable software artefacts and a concise technical narrative for the final demonstration/presentation.</w:t>
            </w:r>
          </w:p>
        </w:tc>
        <w:tc>
          <w:tcPr>
            <w:tcW w:w="1418" w:type="dxa"/>
          </w:tcPr>
          <w:p>
            <w:r>
              <w:rPr>
                <w:sz w:val="17"/>
                <w:szCs w:val="17"/>
              </w:rPr>
              <w:t xml:space="preserve">Apr-May 2026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</w:tr>
    </w:tbl>
    <w:p/>
    <w:p>
      <w:r>
        <w:rPr>
          <w:b/>
          <w:bCs/>
          <w:color w:val="2F5496"/>
        </w:rPr>
        <w:t xml:space="preserve">Planned and Future CPD activity: 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2263"/>
        <w:gridCol w:w="9356"/>
        <w:gridCol w:w="2410"/>
        <w:gridCol w:w="1417"/>
      </w:tblGrid>
      <w:tr>
        <w:tc>
          <w:tcPr>
            <w:tcW w:w="2263" w:type="dxa"/>
          </w:tcPr>
          <w:p>
            <w:r>
              <w:rPr>
                <w:b/>
                <w:bCs/>
              </w:rPr>
              <w:t xml:space="preserve">CPD Activity Title</w:t>
            </w:r>
          </w:p>
        </w:tc>
        <w:tc>
          <w:tcPr>
            <w:tcW w:w="9356" w:type="dxa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2410" w:type="dxa"/>
          </w:tcPr>
          <w:p>
            <w:r>
              <w:rPr>
                <w:b/>
                <w:bCs/>
              </w:rPr>
              <w:t xml:space="preserve">Skills addressed</w:t>
            </w:r>
          </w:p>
        </w:tc>
        <w:tc>
          <w:tcPr>
            <w:tcW w:w="1417" w:type="dxa"/>
          </w:tcPr>
          <w:p>
            <w:r>
              <w:rPr>
                <w:b/>
                <w:bCs/>
              </w:rPr>
              <w:t xml:space="preserve">Dates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Final demonstration rehearsal</w:t>
            </w:r>
          </w:p>
        </w:tc>
        <w:tc>
          <w:tcPr>
            <w:tcW w:w="9356" w:type="dxa"/>
          </w:tcPr>
          <w:p>
            <w:r>
              <w:rPr>
                <w:sz w:val="17"/>
                <w:szCs w:val="17"/>
              </w:rPr>
              <w:t xml:space="preserve">Practise the 15-minute final presentation, rehearse responses to questions about classifier accuracy, simulation-only validation, ethical constraints and the RL demonstration media.</w:t>
            </w:r>
          </w:p>
        </w:tc>
        <w:tc>
          <w:tcPr>
            <w:tcW w:w="2410" w:type="dxa"/>
          </w:tcPr>
          <w:p>
            <w:r>
              <w:rPr>
                <w:sz w:val="17"/>
                <w:szCs w:val="17"/>
              </w:rPr>
              <w:t xml:space="preserve">Technical communication; evidence-based explanation; time management.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05 May-15 May 2026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Repository release and reproducibility check</w:t>
            </w:r>
          </w:p>
        </w:tc>
        <w:tc>
          <w:tcPr>
            <w:tcW w:w="9356" w:type="dxa"/>
          </w:tcPr>
          <w:p>
            <w:r>
              <w:rPr>
                <w:sz w:val="17"/>
                <w:szCs w:val="17"/>
              </w:rPr>
              <w:t xml:space="preserve">Clean the public repository evidence so that a technically competent reader can inspect the code structure, run key scripts and understand which artefacts are authored work versus third-party reference material.</w:t>
            </w:r>
          </w:p>
        </w:tc>
        <w:tc>
          <w:tcPr>
            <w:tcW w:w="2410" w:type="dxa"/>
          </w:tcPr>
          <w:p>
            <w:r>
              <w:rPr>
                <w:sz w:val="17"/>
                <w:szCs w:val="17"/>
              </w:rPr>
              <w:t xml:space="preserve">Version control; reproducible research; professional software documentation.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May 2026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Ethically approved OpenBCI user study</w:t>
            </w:r>
          </w:p>
        </w:tc>
        <w:tc>
          <w:tcPr>
            <w:tcW w:w="9356" w:type="dxa"/>
          </w:tcPr>
          <w:p>
            <w:r>
              <w:rPr>
                <w:sz w:val="17"/>
                <w:szCs w:val="17"/>
              </w:rPr>
              <w:t xml:space="preserve">Prepare a live-user validation plan with participant information, consent, risk controls and a small 8-channel calibration protocol before collecting any new human EEG data.</w:t>
            </w:r>
          </w:p>
        </w:tc>
        <w:tc>
          <w:tcPr>
            <w:tcW w:w="2410" w:type="dxa"/>
          </w:tcPr>
          <w:p>
            <w:r>
              <w:rPr>
                <w:sz w:val="17"/>
                <w:szCs w:val="17"/>
              </w:rPr>
              <w:t xml:space="preserve">Research ethics; participant protocol design; EEG acquisition practice.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Summer-Autumn 2026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Real-time 8-channel inference path</w:t>
            </w:r>
          </w:p>
        </w:tc>
        <w:tc>
          <w:tcPr>
            <w:tcW w:w="9356" w:type="dxa"/>
          </w:tcPr>
          <w:p>
            <w:r>
              <w:rPr>
                <w:sz w:val="17"/>
                <w:szCs w:val="17"/>
              </w:rPr>
              <w:t xml:space="preserve">Build and test a native low-channel online decoder using the exact OpenBCI channel order, sampling rate, filtering and normalisation expected during deployment. Compare shorter decision windows to reduce command latency.</w:t>
            </w:r>
          </w:p>
        </w:tc>
        <w:tc>
          <w:tcPr>
            <w:tcW w:w="2410" w:type="dxa"/>
          </w:tcPr>
          <w:p>
            <w:r>
              <w:rPr>
                <w:sz w:val="17"/>
                <w:szCs w:val="17"/>
              </w:rPr>
              <w:t xml:space="preserve">Online signal processing; model adaptation; latency analysis.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Summer 2026</w:t>
            </w:r>
          </w:p>
        </w:tc>
      </w:tr>
      <w:tr>
        <w:tc>
          <w:tcPr>
            <w:tcW w:w="2263" w:type="dxa"/>
          </w:tcPr>
          <w:p>
            <w:r>
              <w:rPr>
                <w:sz w:val="17"/>
                <w:szCs w:val="17"/>
              </w:rPr>
              <w:t xml:space="preserve">Extended SO-101 closed-loop manipulation</w:t>
            </w:r>
          </w:p>
        </w:tc>
        <w:tc>
          <w:tcPr>
            <w:tcW w:w="9356" w:type="dxa"/>
          </w:tcPr>
          <w:p>
            <w:r>
              <w:rPr>
                <w:sz w:val="17"/>
                <w:szCs w:val="17"/>
              </w:rPr>
              <w:t xml:space="preserve">Extend the present planar reaching controller toward richer SO-101 tasks only after validating live decoding and emergency-stop controls. Use the current 4-direction policy as the safety baseline.</w:t>
            </w:r>
          </w:p>
        </w:tc>
        <w:tc>
          <w:tcPr>
            <w:tcW w:w="2410" w:type="dxa"/>
          </w:tcPr>
          <w:p>
            <w:r>
              <w:rPr>
                <w:sz w:val="17"/>
                <w:szCs w:val="17"/>
              </w:rPr>
              <w:t xml:space="preserve">Robotics control; reinforcement-learning generalisation; safety validation.</w:t>
            </w:r>
          </w:p>
        </w:tc>
        <w:tc>
          <w:tcPr>
            <w:tcW w:w="1417" w:type="dxa"/>
          </w:tcPr>
          <w:p>
            <w:r>
              <w:rPr>
                <w:sz w:val="17"/>
                <w:szCs w:val="17"/>
              </w:rPr>
              <w:t xml:space="preserve">Future MEng/research work</w:t>
            </w:r>
          </w:p>
        </w:tc>
      </w:tr>
    </w:tbl>
    <w:p/>
    <w:sectPr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A3"/>
    <w:rsid w:val="00091A49"/>
    <w:rsid w:val="005E79BC"/>
    <w:rsid w:val="006F5BE1"/>
    <w:rsid w:val="008A6395"/>
    <w:rsid w:val="009175B7"/>
    <w:rsid w:val="00E81B7E"/>
    <w:rsid w:val="00E945BC"/>
    <w:rsid w:val="00FF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E8E1"/>
  <w15:chartTrackingRefBased/>
  <w15:docId w15:val="{63B13EC6-44A3-46B4-A3E6-84CAB22F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531</Characters>
  <Application>Microsoft Office Word</Application>
  <DocSecurity>0</DocSecurity>
  <Lines>4</Lines>
  <Paragraphs>1</Paragraphs>
  <ScaleCrop>false</ScaleCrop>
  <Company>University of Manchester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O'Toole</dc:creator>
  <cp:keywords/>
  <dc:description/>
  <cp:lastModifiedBy>Sareh Malekpour</cp:lastModifiedBy>
  <cp:revision>3</cp:revision>
  <dcterms:created xsi:type="dcterms:W3CDTF">2024-04-29T10:32:00Z</dcterms:created>
  <dcterms:modified xsi:type="dcterms:W3CDTF">2024-10-10T15:01:00Z</dcterms:modified>
</cp:coreProperties>
</file>