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План тестирования</w:t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jc w:val="center"/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интернет-магазина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MaX</w:t>
      </w:r>
      <w:r>
        <w:rPr>
          <w:rFonts w:ascii="Times New Roman" w:hAnsi="Times New Roman" w:cs="Times New Roman"/>
          <w:b/>
          <w:sz w:val="32"/>
          <w:szCs w:val="32"/>
        </w:rPr>
        <w:t xml:space="preserve">.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Technology</w:t>
      </w:r>
      <w:r>
        <w:rPr>
          <w:rFonts w:ascii="Times New Roman" w:hAnsi="Times New Roman" w:cs="Times New Roman"/>
          <w:b/>
          <w:sz w:val="32"/>
          <w:szCs w:val="32"/>
        </w:rPr>
      </w:r>
      <w:r>
        <w:rPr>
          <w:rFonts w:ascii="Times New Roman" w:hAnsi="Times New Roman" w:cs="Times New Roman"/>
          <w:b/>
          <w:sz w:val="32"/>
          <w:szCs w:val="32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Цель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Определение стратегии, объема, подхода и расписания тестирования интернет-магазина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MaX.Technology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для обеспечения качества перед релизом и после значимых обновлений.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Область тестирования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Функциональность ключевых пользовательских сценариев: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Регистрация и авторизация пользователей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Поиск, фильтрация и сортировка товаров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Работа с корзиной и оформление заказа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Критическая функциональность карточки товара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Базовая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кроссбраузерность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и адаптивность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Вне области тестирования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Полное регрессионное тестирование всех функций (за рамками данной итерации)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Нагрузочное тестирование (за исключением базовых проверок скорости загрузки)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Тестирование безопасности на уровне пентеста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Тестирование API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Полная проверка контента всех страниц каталога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Интеграции с внешними системами бухгалтерии, CRM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Мобильные приложения (только мобильная версия сайта)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Тестовая стратегия и подходы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outlineLvl w:val="3"/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Тестирование интернет-магазина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MaX.Technology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будет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производиться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вручную по методу черного ящика. При этом будут задействованы следующие типы тестирования: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r>
    </w:p>
    <w:p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Функциональное: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проверка всех функций согласно требованиям.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Приоритет: High.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Приемочное: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проверка ключевых бизнес-сценариев (покупка, регистрация).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Приоритет: High.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Кроссбраузерное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проверка на основных браузерах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Chrome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последняя версия),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Firefox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последняя версия)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Edge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последняя версия)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Приоритет: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Medium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Адаптивное: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проверка на основных разрешениях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375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рх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(телефон)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768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рх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(планшет)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1920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рх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(пк)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Приоритет: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Medium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Пользовательский интерфейс: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соответствие макетам и гайдлайнам.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Приоритет: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Medium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Критерии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Критерии начала тестирования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</w:p>
    <w:p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Описаны требования и ожидаемое поведение для новых функций.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Размещен актуальный билд для тестирования.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Предоставлена тестовая документация (чек-листы,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тест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кейсы).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Доступны тестовые данные (пользователи, товары, промокоды).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Критерии окончания тестирования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</w:p>
    <w:p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ыполнение более 80 % запланированных на итерацию тест-кейсов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Критичные и серьезные баги исправлены и перепроверены.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Приемочные тесты (покупка, регистрация) успешно пройдены.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Критерии приостановки тестирования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outlineLvl w:val="3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r>
    </w:p>
    <w:p>
      <w:pPr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Падение тестовой среды.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Обнаружение блокирующего бага в ключевом сценарии (например, невозможность оплатить заказ).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Отсутствие необходимых тестовых данных или доступа.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715"/>
        <w:rPr>
          <w:sz w:val="24"/>
          <w:szCs w:val="24"/>
        </w:rPr>
      </w:pPr>
      <w:r>
        <w:rPr>
          <w:rStyle w:val="896"/>
          <w:b/>
          <w:bCs/>
          <w:sz w:val="24"/>
          <w:szCs w:val="24"/>
        </w:rPr>
        <w:t xml:space="preserve">Ресурсы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34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Программные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ресурсы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Jira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TestRail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MS Office, Google Chrome, Firefox, Edge, OS Windows 10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r>
    </w:p>
    <w:p>
      <w:pPr>
        <w:pStyle w:val="734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Аппаратные ресурсы: одна рабочая станция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Ryzen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7, 32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Gb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RAM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734"/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Финансовые ресурсы: согласно утверждённому бюджету. Дополнительные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734"/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финансовые ресурсы не требуются.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Style w:val="715"/>
        <w:rPr>
          <w:rStyle w:val="896"/>
          <w:b/>
          <w:bCs/>
          <w:sz w:val="24"/>
          <w:szCs w:val="24"/>
          <w:lang w:val="en-US"/>
        </w:rPr>
      </w:pPr>
      <w:r>
        <w:rPr>
          <w:rStyle w:val="896"/>
          <w:b/>
          <w:bCs/>
          <w:sz w:val="24"/>
          <w:szCs w:val="24"/>
        </w:rPr>
        <w:t xml:space="preserve">Расписание</w:t>
      </w:r>
      <w:r>
        <w:rPr>
          <w:rStyle w:val="896"/>
          <w:b/>
          <w:bCs/>
          <w:sz w:val="24"/>
          <w:szCs w:val="24"/>
          <w:lang w:val="en-US"/>
        </w:rPr>
      </w:r>
      <w:r>
        <w:rPr>
          <w:rStyle w:val="896"/>
          <w:b/>
          <w:bCs/>
          <w:sz w:val="24"/>
          <w:szCs w:val="24"/>
          <w:lang w:val="en-US"/>
        </w:rPr>
      </w:r>
    </w:p>
    <w:tbl>
      <w:tblPr>
        <w:tblW w:w="5700" w:type="dxa"/>
        <w:tblInd w:w="152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4245"/>
        <w:gridCol w:w="1455"/>
      </w:tblGrid>
      <w:tr>
        <w:tblPrEx/>
        <w:trPr>
          <w:trHeight w:val="46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245" w:type="dxa"/>
            <w:textDirection w:val="lrTb"/>
            <w:noWrap w:val="false"/>
          </w:tcPr>
          <w:p>
            <w:pPr>
              <w:ind w:left="380"/>
              <w:spacing w:after="20" w:line="26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Планирование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ind w:left="380"/>
              <w:spacing w:after="20" w:line="26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дня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68"/>
        </w:trPr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245" w:type="dxa"/>
            <w:textDirection w:val="lrTb"/>
            <w:noWrap w:val="false"/>
          </w:tcPr>
          <w:p>
            <w:pPr>
              <w:ind w:left="380"/>
              <w:spacing w:after="20" w:line="26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Тест-анализ и тест-дизайн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ind w:left="380"/>
              <w:spacing w:after="20" w:line="26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 дня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68"/>
        </w:trPr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245" w:type="dxa"/>
            <w:textDirection w:val="lrTb"/>
            <w:noWrap w:val="false"/>
          </w:tcPr>
          <w:p>
            <w:pPr>
              <w:ind w:left="380"/>
              <w:spacing w:after="20" w:line="26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Разработка чек-листов и тест-кейсов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ind w:left="380"/>
              <w:spacing w:after="20" w:line="26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 дня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68"/>
        </w:trPr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245" w:type="dxa"/>
            <w:textDirection w:val="lrTb"/>
            <w:noWrap w:val="false"/>
          </w:tcPr>
          <w:p>
            <w:pPr>
              <w:ind w:left="380"/>
              <w:spacing w:after="20" w:line="26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Выполнение тест-кейсов, написание отчетов о дефектах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ind w:left="380"/>
              <w:spacing w:after="20" w:line="26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дн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68"/>
        </w:trPr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245" w:type="dxa"/>
            <w:textDirection w:val="lrTb"/>
            <w:noWrap w:val="false"/>
          </w:tcPr>
          <w:p>
            <w:pPr>
              <w:ind w:left="380"/>
              <w:spacing w:after="20" w:line="26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Завершение тестирования и подведение итогов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1455" w:type="dxa"/>
            <w:textDirection w:val="lrTb"/>
            <w:noWrap w:val="false"/>
          </w:tcPr>
          <w:p>
            <w:pPr>
              <w:ind w:left="380"/>
              <w:spacing w:after="20" w:line="26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день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pStyle w:val="715"/>
        <w:rPr>
          <w:rStyle w:val="896"/>
          <w:b/>
          <w:bCs/>
          <w:sz w:val="24"/>
          <w:szCs w:val="24"/>
        </w:rPr>
      </w:pPr>
      <w:r>
        <w:rPr>
          <w:rStyle w:val="896"/>
          <w:b/>
          <w:bCs/>
          <w:sz w:val="24"/>
          <w:szCs w:val="24"/>
        </w:rPr>
        <w:t xml:space="preserve">Оценка рисков</w:t>
      </w:r>
      <w:r>
        <w:rPr>
          <w:rStyle w:val="896"/>
          <w:b/>
          <w:bCs/>
          <w:sz w:val="24"/>
          <w:szCs w:val="24"/>
        </w:rPr>
      </w:r>
      <w:r>
        <w:rPr>
          <w:rStyle w:val="896"/>
          <w:b/>
          <w:bCs/>
          <w:sz w:val="24"/>
          <w:szCs w:val="24"/>
        </w:rPr>
      </w:r>
    </w:p>
    <w:p>
      <w:pPr>
        <w:numPr>
          <w:ilvl w:val="0"/>
          <w:numId w:val="10"/>
        </w:numPr>
        <w:spacing w:after="0" w:line="269" w:lineRule="auto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Персонал: возможное отсутствие по болезни, уход в отпуск, прием на работу нового сотрудника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0"/>
        </w:numPr>
        <w:spacing w:after="0" w:line="269" w:lineRule="auto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Отсутствие требований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0"/>
        </w:numPr>
        <w:spacing w:after="0" w:line="269" w:lineRule="auto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Отсутствие предыдущей тестовой документации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0"/>
        </w:numPr>
        <w:spacing w:after="0" w:line="269" w:lineRule="auto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Сдвиг сроков разработки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0"/>
        </w:numPr>
        <w:spacing w:after="0" w:line="269" w:lineRule="auto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Нестабильность тестовой среды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0"/>
        </w:numPr>
        <w:spacing w:after="0" w:line="269" w:lineRule="auto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Недостаточность или некорректность тестовых данных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0"/>
        </w:numPr>
        <w:spacing w:after="20" w:line="269" w:lineRule="auto"/>
        <w:rPr>
          <w:rFonts w:ascii="Times New Roman" w:hAnsi="Times New Roman" w:eastAsia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Возможные ошибочные оценки трудозатрат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Отчетность и Документация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Чек-листы и тест-кейсы документируются в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TestRail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MS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Office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Excel)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Отчеты о дефектах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: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ся найденн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ые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баги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документируется в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Jira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по шаблону (шаги, ожидаемый/фактический результат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окружение,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severity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/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priority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) и 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MS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Office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Excel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Отчет о результатах тестирования содержит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Объем выполненного тестирования (покрытие модулей).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Статистику по багам (найдено/исправлено/открыто, распределение по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severity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Выводы и рекомендации (готовность к релизу, основные риски).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Информацию о среде тестирования.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Актуализация тест-кейсов: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п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 итогам тестирования тест-кейсы дополняются новыми сценариями и пограничными случаями.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  <a:miter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Роли и Ответственност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ь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eastAsia="ru-RU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tbl>
      <w:tblPr>
        <w:tblStyle w:val="750"/>
        <w:tblW w:w="0" w:type="auto"/>
        <w:tblLook w:val="04A0" w:firstRow="1" w:lastRow="0" w:firstColumn="1" w:lastColumn="0" w:noHBand="0" w:noVBand="1"/>
      </w:tblPr>
      <w:tblGrid>
        <w:gridCol w:w="5169"/>
        <w:gridCol w:w="5169"/>
      </w:tblGrid>
      <w:tr>
        <w:tblPrEx/>
        <w:trPr/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Роль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Ответственность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QA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Lead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Составление плана, координация, оценка усилий, итоговый отчет.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QA инженеры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Выполнение тестирования, составление баг-репортов, документация тест-кейсов.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Разработчики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Предоставление стабильного билда, оперативное исправление критических багов.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593"/>
        </w:trPr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Бизнес-аналитик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Создание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 уточнение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требований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Менеджер продукта (PM)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Уточнение требований,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выставление приоритетов,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принятие решения о готовности к релизу.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/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DevOps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5169" w:type="dxa"/>
            <w:vAlign w:val="center"/>
            <w:textDirection w:val="lrTb"/>
            <w:noWrap w:val="false"/>
          </w:tcPr>
          <w:p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outlineLvl w:val="2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Обеспечение стабильности и доступности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программных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сред.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</w:tbl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outlineLvl w:val="2"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Метрики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Style w:val="899"/>
        <w:spacing w:after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У</w:t>
      </w:r>
      <w:r>
        <w:rPr>
          <w:rFonts w:ascii="Times New Roman" w:hAnsi="Times New Roman" w:cs="Times New Roman"/>
          <w:b/>
        </w:rPr>
        <w:t xml:space="preserve">спешное прохождение тест-кейсов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9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9"/>
        <w:rPr>
          <w:rFonts w:ascii="Times New Roman" w:hAnsi="Times New Roman" w:cs="Times New Roman"/>
        </w:rPr>
      </w:pPr>
      <w:r/>
      <m:oMath>
        <m:sSup>
          <m:sSupPr>
            <m:ctrlPr>
              <w:rPr>
                <w:rFonts w:ascii="Cambria Math" w:hAnsi="Cambria Math" w:cs="Cambria Math"/>
                <w:i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lang w:val="en-US"/>
              </w:rPr>
              <m:rPr/>
              <m:t>T</m:t>
            </m:r>
          </m:e>
          <m:sup>
            <m:r>
              <w:rPr>
                <w:rFonts w:ascii="Cambria Math" w:hAnsi="Cambria Math" w:cs="Cambria Math"/>
                <w:lang w:val="en-US"/>
              </w:rPr>
              <m:rPr/>
              <m:t>sp</m:t>
            </m:r>
          </m:sup>
        </m:sSup>
        <m:r>
          <w:rPr>
            <w:rFonts w:ascii="Cambria Math" w:hAnsi="Cambria Math" w:cs="Cambria Math"/>
          </w:rPr>
          <m:rPr/>
          <m:t>=</m:t>
        </m:r>
        <m:f>
          <m:fPr>
            <m:ctrlPr>
              <w:rPr>
                <w:rFonts w:ascii="Cambria Math" w:hAnsi="Cambria Math" w:cs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lang w:val="en-US"/>
                  </w:rPr>
                  <m:rPr/>
                  <m:t>T</m:t>
                </m:r>
              </m:e>
              <m:sup>
                <m:r>
                  <w:rPr>
                    <w:rFonts w:ascii="Cambria Math" w:hAnsi="Cambria Math" w:cs="Cambria Math"/>
                    <w:lang w:val="en-US"/>
                  </w:rPr>
                  <m:rPr/>
                  <m:t>Success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lang w:val="en-US"/>
                  </w:rPr>
                  <m:rPr/>
                  <m:t>T</m:t>
                </m:r>
              </m:e>
              <m:sup>
                <m:r>
                  <w:rPr>
                    <w:rFonts w:ascii="Cambria Math" w:hAnsi="Cambria Math" w:cs="Cambria Math"/>
                    <w:lang w:val="en-US"/>
                  </w:rPr>
                  <m:rPr/>
                  <m:t>Total</m:t>
                </m:r>
              </m:sup>
            </m:sSup>
          </m:den>
        </m:f>
        <m:r>
          <w:rPr>
            <w:rFonts w:ascii="Cambria Math" w:hAnsi="Cambria Math" w:cs="Cambria Math"/>
          </w:rPr>
          <m:rPr/>
          <m:t>*100%</m:t>
        </m:r>
      </m:oMath>
      <w:r>
        <w:rPr>
          <w:rFonts w:ascii="Cambria Math" w:hAnsi="Cambria Math" w:cs="Cambria Math"/>
        </w:rPr>
        <w:t xml:space="preserve">, </w:t>
      </w:r>
      <w:r>
        <w:rPr>
          <w:rFonts w:ascii="Times New Roman" w:hAnsi="Times New Roman" w:cs="Times New Roman"/>
        </w:rPr>
        <w:t xml:space="preserve">где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9"/>
        <w:rPr>
          <w:rFonts w:ascii="Cambria Math" w:hAnsi="Cambria Math" w:cs="Cambria Math"/>
        </w:rPr>
      </w:pPr>
      <w:r>
        <w:rPr>
          <w:rFonts w:ascii="Cambria Math" w:hAnsi="Cambria Math" w:cs="Cambria Math"/>
        </w:rPr>
      </w:r>
      <w:r>
        <w:rPr>
          <w:rFonts w:ascii="Cambria Math" w:hAnsi="Cambria Math" w:cs="Cambria Math"/>
        </w:rPr>
      </w:r>
      <w:r>
        <w:rPr>
          <w:rFonts w:ascii="Cambria Math" w:hAnsi="Cambria Math" w:cs="Cambria Math"/>
        </w:rPr>
      </w:r>
    </w:p>
    <w:p>
      <w:pPr>
        <w:pStyle w:val="899"/>
        <w:rPr>
          <w:rFonts w:ascii="Times New Roman" w:hAnsi="Times New Roman" w:cs="Times New Roman"/>
        </w:rPr>
      </w:pPr>
      <w:r>
        <w:rPr>
          <w:rFonts w:ascii="Cambria Math" w:hAnsi="Cambria Math" w:cs="Cambria Math"/>
          <w:lang w:val="en-US"/>
        </w:rPr>
        <w:t xml:space="preserve">T</w:t>
      </w:r>
      <w:r>
        <w:rPr>
          <w:rFonts w:ascii="Cambria Math" w:hAnsi="Cambria Math" w:cs="Cambria Math"/>
          <w:vertAlign w:val="superscript"/>
          <w:lang w:val="en-US"/>
        </w:rPr>
        <w:t xml:space="preserve">sp</w:t>
      </w:r>
      <w:r>
        <w:rPr>
          <w:rFonts w:ascii="Times New Roman" w:hAnsi="Times New Roman" w:cs="Times New Roman"/>
        </w:rPr>
        <w:t xml:space="preserve"> — процентный показатель успешного прохождения тест-кейсов,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9"/>
        <w:rPr>
          <w:rFonts w:ascii="Times New Roman" w:hAnsi="Times New Roman" w:cs="Times New Roman"/>
        </w:rPr>
      </w:pPr>
      <w:r>
        <w:rPr>
          <w:rFonts w:ascii="Cambria Math" w:hAnsi="Cambria Math" w:cs="Cambria Math"/>
          <w:lang w:val="en-US"/>
        </w:rPr>
        <w:t xml:space="preserve">T</w:t>
      </w:r>
      <w:r>
        <w:rPr>
          <w:rFonts w:ascii="Cambria Math" w:hAnsi="Cambria Math" w:cs="Cambria Math"/>
          <w:vertAlign w:val="superscript"/>
          <w:lang w:val="en-US"/>
        </w:rPr>
        <w:t xml:space="preserve">Success</w:t>
      </w:r>
      <w:r>
        <w:rPr>
          <w:rFonts w:ascii="Times New Roman" w:hAnsi="Times New Roman" w:cs="Times New Roman"/>
        </w:rPr>
        <w:t xml:space="preserve"> — количество успешно выполненных тест-кейсов,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9"/>
        <w:rPr>
          <w:rFonts w:ascii="Times New Roman" w:hAnsi="Times New Roman" w:cs="Times New Roman"/>
        </w:rPr>
      </w:pPr>
      <w:r>
        <w:rPr>
          <w:rFonts w:ascii="Cambria Math" w:hAnsi="Cambria Math" w:cs="Cambria Math"/>
          <w:lang w:val="en-US"/>
        </w:rPr>
        <w:t xml:space="preserve">T</w:t>
      </w:r>
      <w:r>
        <w:rPr>
          <w:rFonts w:ascii="Cambria Math" w:hAnsi="Cambria Math" w:cs="Cambria Math"/>
          <w:vertAlign w:val="superscript"/>
          <w:lang w:val="en-US"/>
        </w:rPr>
        <w:t xml:space="preserve">Total</w:t>
      </w:r>
      <w:r>
        <w:rPr>
          <w:rFonts w:ascii="Times New Roman" w:hAnsi="Times New Roman" w:cs="Times New Roman"/>
        </w:rPr>
        <w:t xml:space="preserve"> — общее количество выполненных тест-кейсов.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Минимальные границы значений: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99"/>
        <w:numPr>
          <w:ilvl w:val="0"/>
          <w:numId w:val="19"/>
        </w:numPr>
        <w:spacing w:after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Начальная фаза проекта: 10%.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9"/>
        <w:numPr>
          <w:ilvl w:val="0"/>
          <w:numId w:val="19"/>
        </w:numPr>
        <w:spacing w:after="2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Основная фаза проекта: 40%.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9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Финальная фаза проекта: 80%.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Общее устранение дефектов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/>
      <m:oMath>
        <m:sSup>
          <m:sSupPr>
            <m:ctrlPr>
              <w:rPr>
                <w:rFonts w:ascii="Cambria Math" w:hAnsi="Cambria Math" w:cs="Cambria Math"/>
                <w:i/>
                <w:color w:val="000000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color w:val="000000"/>
                <w:sz w:val="24"/>
                <w:szCs w:val="24"/>
                <w:lang w:val="en-US"/>
              </w:rPr>
              <m:rPr/>
              <m:t>D</m:t>
            </m:r>
          </m:e>
          <m:sup>
            <m:r>
              <w:rPr>
                <w:rFonts w:ascii="Cambria Math" w:hAnsi="Cambria Math" w:cs="Cambria Math"/>
                <w:color w:val="000000"/>
                <w:sz w:val="24"/>
                <w:szCs w:val="24"/>
                <w:lang w:val="en-US"/>
              </w:rPr>
              <m:rPr/>
              <m:t>FTP</m:t>
            </m:r>
            <m:r>
              <w:rPr>
                <w:rFonts w:ascii="Cambria Math" w:hAnsi="Cambria Math" w:cs="Cambria Math"/>
                <w:color w:val="000000"/>
                <w:sz w:val="24"/>
                <w:szCs w:val="24"/>
              </w:rPr>
              <m:rPr/>
              <m:t> </m:t>
            </m:r>
            <m:r>
              <w:rPr>
                <w:rFonts w:ascii="Cambria Math" w:hAnsi="Cambria Math" w:cs="Cambria Math"/>
                <w:color w:val="000000"/>
                <w:sz w:val="24"/>
                <w:szCs w:val="24"/>
                <w:lang w:val="en-US"/>
              </w:rPr>
              <m:rPr/>
              <m:t>Level</m:t>
            </m:r>
          </m:sup>
        </m:sSup>
        <m:r>
          <w:rPr>
            <w:rFonts w:ascii="Cambria Math" w:hAnsi="Cambria Math" w:cs="Cambria Math"/>
            <w:color w:val="000000"/>
            <w:sz w:val="24"/>
            <w:szCs w:val="24"/>
          </w:rPr>
          <m:rPr/>
          <m:t>=</m:t>
        </m:r>
        <m:f>
          <m:fPr>
            <m:ctrlPr>
              <w:rPr>
                <w:rFonts w:ascii="Cambria Math" w:hAnsi="Cambria Math" w:cs="Cambria Math"/>
                <w:i/>
                <w:color w:val="000000"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D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Closed</m:t>
                </m:r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</w:rPr>
                  <m:rPr/>
                  <m:t> </m:t>
                </m:r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Level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D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Found</m:t>
                </m:r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</w:rPr>
                  <m:rPr/>
                  <m:t> </m:t>
                </m:r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Level</m:t>
                </m:r>
              </m:sup>
            </m:sSup>
          </m:den>
        </m:f>
        <m:r>
          <w:rPr>
            <w:rFonts w:ascii="Cambria Math" w:hAnsi="Cambria Math" w:cs="Cambria Math"/>
            <w:color w:val="000000"/>
            <w:sz w:val="24"/>
            <w:szCs w:val="24"/>
          </w:rPr>
          <m:rPr/>
          <m:t>*100%</m:t>
        </m:r>
      </m:oMath>
      <w:r>
        <w:rPr>
          <w:rFonts w:ascii="Times New Roman" w:hAnsi="Times New Roman" w:cs="Times New Roman"/>
          <w:color w:val="000000"/>
          <w:sz w:val="24"/>
          <w:szCs w:val="24"/>
        </w:rPr>
        <w:t xml:space="preserve">, где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𝐷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𝐹𝑇𝑃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 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𝐿𝑒𝑣𝑒𝑙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— процентный показатель устранения дефектов уровня важности </w:t>
      </w:r>
      <w:r>
        <w:rPr>
          <w:rFonts w:ascii="Cambria Math" w:hAnsi="Cambria Math" w:cs="Cambria Math"/>
          <w:i/>
          <w:color w:val="000000"/>
          <w:sz w:val="24"/>
          <w:szCs w:val="24"/>
        </w:rPr>
        <w:t xml:space="preserve">𝐿𝑒𝑣𝑒𝑙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 время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существования проекта,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𝐷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𝐶𝑙𝑜𝑠𝑒𝑑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 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𝐿𝑒𝑣𝑒𝑙</w: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— количество устранённых за время существования проекта дефектов уровня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важности </w:t>
      </w:r>
      <w:r>
        <w:rPr>
          <w:rFonts w:ascii="Cambria Math" w:hAnsi="Cambria Math" w:cs="Cambria Math"/>
          <w:i/>
          <w:color w:val="000000"/>
          <w:sz w:val="24"/>
          <w:szCs w:val="24"/>
        </w:rPr>
        <w:t xml:space="preserve">𝐿𝑒𝑣𝑒𝑙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𝐷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𝐹𝑜𝑢𝑛𝑑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 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𝐿𝑒𝑣𝑒𝑙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— количество обнаруженных за время существования проекта дефектов уровня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важности </w:t>
      </w:r>
      <w:r>
        <w:rPr>
          <w:rFonts w:ascii="Cambria Math" w:hAnsi="Cambria Math" w:cs="Cambria Math"/>
          <w:i/>
          <w:color w:val="000000"/>
          <w:sz w:val="24"/>
          <w:szCs w:val="24"/>
        </w:rPr>
        <w:t xml:space="preserve">𝐿𝑒𝑣𝑒𝑙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Минимальные границы значений: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tbl>
      <w:tblPr>
        <w:tblStyle w:val="750"/>
        <w:tblW w:w="0" w:type="auto"/>
        <w:tblLook w:val="04A0" w:firstRow="1" w:lastRow="0" w:firstColumn="1" w:lastColumn="0" w:noHBand="0" w:noVBand="1"/>
      </w:tblPr>
      <w:tblGrid>
        <w:gridCol w:w="2067"/>
        <w:gridCol w:w="2067"/>
        <w:gridCol w:w="2068"/>
        <w:gridCol w:w="2068"/>
        <w:gridCol w:w="2068"/>
      </w:tblGrid>
      <w:tr>
        <w:tblPrEx/>
        <w:trPr/>
        <w:tc>
          <w:tcPr>
            <w:tcW w:w="206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Фаза проекта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4"/>
            <w:tcW w:w="827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Важность дефекта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2067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Низкая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Средняя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Высокая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Критическая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Начальная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10%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40%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50%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80%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Основная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15%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50%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75%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90%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Финальная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20%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60%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100%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100%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Текущее устранение дефектов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/>
      <m:oMath>
        <m:sSup>
          <m:sSupPr>
            <m:ctrlPr>
              <w:rPr>
                <w:rFonts w:ascii="Cambria Math" w:hAnsi="Cambria Math" w:cs="Cambria Math"/>
                <w:i/>
                <w:color w:val="000000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color w:val="000000"/>
                <w:sz w:val="24"/>
                <w:szCs w:val="24"/>
                <w:lang w:val="en-US"/>
              </w:rPr>
              <m:rPr/>
              <m:t>D</m:t>
            </m:r>
          </m:e>
          <m:sup>
            <m:r>
              <w:rPr>
                <w:rFonts w:ascii="Cambria Math" w:hAnsi="Cambria Math" w:cs="Cambria Math"/>
                <w:color w:val="000000"/>
                <w:sz w:val="24"/>
                <w:szCs w:val="24"/>
                <w:lang w:val="en-US"/>
              </w:rPr>
              <m:rPr/>
              <m:t>FCP</m:t>
            </m:r>
            <m:r>
              <w:rPr>
                <w:rFonts w:ascii="Cambria Math" w:hAnsi="Cambria Math" w:cs="Cambria Math"/>
                <w:color w:val="000000"/>
                <w:sz w:val="24"/>
                <w:szCs w:val="24"/>
              </w:rPr>
              <m:rPr/>
              <m:t> </m:t>
            </m:r>
            <m:r>
              <w:rPr>
                <w:rFonts w:ascii="Cambria Math" w:hAnsi="Cambria Math" w:cs="Cambria Math"/>
                <w:color w:val="000000"/>
                <w:sz w:val="24"/>
                <w:szCs w:val="24"/>
                <w:lang w:val="en-US"/>
              </w:rPr>
              <m:rPr/>
              <m:t>Level</m:t>
            </m:r>
          </m:sup>
        </m:sSup>
        <m:r>
          <w:rPr>
            <w:rFonts w:ascii="Cambria Math" w:hAnsi="Cambria Math" w:cs="Cambria Math"/>
            <w:color w:val="000000"/>
            <w:sz w:val="24"/>
            <w:szCs w:val="24"/>
          </w:rPr>
          <m:rPr/>
          <m:t>=</m:t>
        </m:r>
        <m:f>
          <m:fPr>
            <m:ctrlPr>
              <w:rPr>
                <w:rFonts w:ascii="Cambria Math" w:hAnsi="Cambria Math" w:cs="Cambria Math"/>
                <w:i/>
                <w:color w:val="000000"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D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Closed</m:t>
                </m:r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</w:rPr>
                  <m:rPr/>
                  <m:t> </m:t>
                </m:r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Level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D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Found</m:t>
                </m:r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</w:rPr>
                  <m:rPr/>
                  <m:t> </m:t>
                </m:r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Level</m:t>
                </m:r>
              </m:sup>
            </m:sSup>
          </m:den>
        </m:f>
        <m:r>
          <w:rPr>
            <w:rFonts w:ascii="Cambria Math" w:hAnsi="Cambria Math" w:cs="Cambria Math"/>
            <w:color w:val="000000"/>
            <w:sz w:val="24"/>
            <w:szCs w:val="24"/>
          </w:rPr>
          <m:rPr/>
          <m:t>*100%</m:t>
        </m:r>
      </m:oMath>
      <w:r>
        <w:rPr>
          <w:rFonts w:ascii="Times New Roman" w:hAnsi="Times New Roman" w:cs="Times New Roman"/>
          <w:color w:val="000000"/>
          <w:sz w:val="24"/>
          <w:szCs w:val="24"/>
        </w:rPr>
        <w:t xml:space="preserve">, где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𝐷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𝐹𝐶𝑃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 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𝐿𝑒𝑣𝑒𝑙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— процентный показатель устранения в текущем билде дефектов уровня важности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i/>
          <w:color w:val="000000"/>
          <w:sz w:val="24"/>
          <w:szCs w:val="24"/>
        </w:rPr>
        <w:t xml:space="preserve">𝐿𝑒𝑣𝑒𝑙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обнаруженных в предыдущем билде,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𝐷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𝐶𝑙𝑜𝑠𝑒𝑑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 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𝐿𝑒𝑣𝑒𝑙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— количество устранённых в текущем билде дефектов уровня важности </w:t>
      </w:r>
      <w:r>
        <w:rPr>
          <w:rFonts w:ascii="Cambria Math" w:hAnsi="Cambria Math" w:cs="Cambria Math"/>
          <w:i/>
          <w:color w:val="000000"/>
          <w:sz w:val="24"/>
          <w:szCs w:val="24"/>
        </w:rPr>
        <w:t xml:space="preserve">𝐿𝑒𝑣𝑒𝑙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𝐷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𝐹𝑜𝑢𝑛𝑑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 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𝐿𝑒𝑣𝑒𝑙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— количество обнаруженных в предыдущем билде дефектов уровня важности </w:t>
      </w:r>
      <w:r>
        <w:rPr>
          <w:rFonts w:ascii="Cambria Math" w:hAnsi="Cambria Math" w:cs="Cambria Math"/>
          <w:i/>
          <w:color w:val="000000"/>
          <w:sz w:val="24"/>
          <w:szCs w:val="24"/>
        </w:rPr>
        <w:t xml:space="preserve">𝐿𝑒𝑣𝑒𝑙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Минимальные границы значений: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tbl>
      <w:tblPr>
        <w:tblStyle w:val="750"/>
        <w:tblW w:w="0" w:type="auto"/>
        <w:tblLook w:val="04A0" w:firstRow="1" w:lastRow="0" w:firstColumn="1" w:lastColumn="0" w:noHBand="0" w:noVBand="1"/>
      </w:tblPr>
      <w:tblGrid>
        <w:gridCol w:w="2067"/>
        <w:gridCol w:w="2067"/>
        <w:gridCol w:w="2068"/>
        <w:gridCol w:w="2068"/>
        <w:gridCol w:w="2068"/>
      </w:tblGrid>
      <w:tr>
        <w:tblPrEx/>
        <w:trPr/>
        <w:tc>
          <w:tcPr>
            <w:tcW w:w="2067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Фаза проекта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gridSpan w:val="4"/>
            <w:tcW w:w="8271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Важность дефекта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2067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Низкая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Средняя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Высокая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Критическая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Начальная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60%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60%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60%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60%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Основная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65%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70%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85%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90%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  <w:tr>
        <w:tblPrEx/>
        <w:trPr/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Финальная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70%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80%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95%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206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100%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Стоп-фактор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/>
      <m:oMath>
        <m:r>
          <w:rPr>
            <w:rFonts w:ascii="Cambria Math" w:hAnsi="Cambria Math" w:cs="Times New Roman"/>
            <w:color w:val="000000"/>
            <w:sz w:val="24"/>
            <w:szCs w:val="24"/>
          </w:rPr>
          <m:rPr>
            <m:sty m:val="p"/>
          </m:rPr>
          <m:t>S= 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cs="Times New Roman"/>
                    <w:i/>
                    <w:color w:val="000000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</w:rPr>
                  <m:rPr>
                    <m:sty m:val="p"/>
                  </m:rPr>
                  <m:t>Yes</m:t>
                </m:r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rPr>
                    <m:sty m:val="p"/>
                  </m:rPr>
                  <m:t>,</m:t>
                </m:r>
                <m:sSup>
                  <m:sSupPr>
                    <m:ctrlPr>
                      <w:rPr>
                        <w:rFonts w:ascii="Cambria Math" w:hAnsi="Cambria Math" w:cs="Cambria Math"/>
                        <w:color w:val="000000"/>
                        <w:sz w:val="24"/>
                        <w:szCs w:val="24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000000"/>
                        <w:sz w:val="24"/>
                        <w:szCs w:val="24"/>
                        <w:vertAlign w:val="superscript"/>
                      </w:rPr>
                      <m:rPr/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/>
                        <w:sz w:val="24"/>
                        <w:szCs w:val="24"/>
                        <w:vertAlign w:val="superscript"/>
                      </w:rPr>
                      <m:rPr/>
                      <m:t>E</m:t>
                    </m:r>
                  </m:sup>
                </m:sSup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rPr>
                    <m:sty m:val="p"/>
                  </m:rPr>
                  <m:t>≥25% </m:t>
                </m:r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rPr>
                    <m:nor m:val="on"/>
                  </m:rPr>
                  <m:t>&amp;&amp;</m:t>
                </m:r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rPr>
                    <m:sty m:val="p"/>
                  </m:rPr>
                  <m:t>&amp; </m:t>
                </m:r>
                <m:sSup>
                  <m:sSupPr>
                    <m:ctrlPr>
                      <w:rPr>
                        <w:rFonts w:ascii="Cambria Math" w:hAnsi="Cambria Math" w:cs="Cambria Math"/>
                        <w:color w:val="000000"/>
                        <w:sz w:val="24"/>
                        <w:szCs w:val="24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000000"/>
                        <w:sz w:val="24"/>
                        <w:szCs w:val="24"/>
                        <w:vertAlign w:val="superscript"/>
                      </w:rPr>
                      <m:rPr/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/>
                        <w:sz w:val="24"/>
                        <w:szCs w:val="24"/>
                        <w:vertAlign w:val="superscript"/>
                      </w:rPr>
                      <m:rPr/>
                      <m:t>SP</m:t>
                    </m:r>
                  </m:sup>
                </m:sSup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rPr>
                    <m:sty m:val="p"/>
                  </m:rPr>
                  <m:t>&lt;50%</m:t>
                </m:r>
              </m:e>
              <m:e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</w:rPr>
                  <m:rPr>
                    <m:sty m:val="p"/>
                  </m:rPr>
                  <m:t>No</m:t>
                </m:r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rPr>
                    <m:sty m:val="p"/>
                  </m:rPr>
                  <m:t>,</m:t>
                </m:r>
                <m:sSup>
                  <m:sSupPr>
                    <m:ctrlPr>
                      <w:rPr>
                        <w:rFonts w:ascii="Cambria Math" w:hAnsi="Cambria Math" w:cs="Cambria Math"/>
                        <w:color w:val="000000"/>
                        <w:sz w:val="24"/>
                        <w:szCs w:val="24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000000"/>
                        <w:sz w:val="24"/>
                        <w:szCs w:val="24"/>
                        <w:vertAlign w:val="superscript"/>
                      </w:rPr>
                      <m:rPr/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/>
                        <w:sz w:val="24"/>
                        <w:szCs w:val="24"/>
                        <w:vertAlign w:val="superscript"/>
                      </w:rPr>
                      <m:rPr/>
                      <m:t>E</m:t>
                    </m:r>
                  </m:sup>
                </m:sSup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rPr>
                    <m:sty m:val="p"/>
                  </m:rPr>
                  <m:t>&lt;25% || </m:t>
                </m:r>
                <m:sSup>
                  <m:sSupPr>
                    <m:ctrlPr>
                      <w:rPr>
                        <w:rFonts w:ascii="Cambria Math" w:hAnsi="Cambria Math" w:cs="Cambria Math"/>
                        <w:color w:val="000000"/>
                        <w:sz w:val="24"/>
                        <w:szCs w:val="24"/>
                        <w:vertAlign w:val="superscript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color w:val="000000"/>
                        <w:sz w:val="24"/>
                        <w:szCs w:val="24"/>
                        <w:vertAlign w:val="superscript"/>
                      </w:rPr>
                      <m:rPr/>
                      <m:t>T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/>
                        <w:sz w:val="24"/>
                        <w:szCs w:val="24"/>
                        <w:vertAlign w:val="superscript"/>
                      </w:rPr>
                      <m:rPr/>
                      <m:t>SP</m:t>
                    </m:r>
                  </m:sup>
                </m:sSup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rPr>
                    <m:sty m:val="p"/>
                  </m:rPr>
                  <m:t>≥50%</m:t>
                </m:r>
              </m:e>
            </m:eqArr>
          </m:e>
        </m:d>
      </m:oMath>
      <w:r>
        <w:rPr>
          <w:rFonts w:ascii="Times New Roman" w:hAnsi="Times New Roman" w:cs="Times New Roman"/>
          <w:color w:val="000000"/>
          <w:sz w:val="24"/>
          <w:szCs w:val="24"/>
        </w:rPr>
        <w:t xml:space="preserve">, где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𝑆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— решение о приостановке тестирования,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𝑇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— текущее значение метрики </w:t>
      </w:r>
      <w:r>
        <w:rPr>
          <w:rFonts w:ascii="Cambria Math" w:hAnsi="Cambria Math" w:cs="Cambria Math"/>
          <w:color w:val="000000"/>
          <w:sz w:val="24"/>
          <w:szCs w:val="24"/>
        </w:rPr>
        <w:t xml:space="preserve">𝑇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𝑇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𝑆𝑃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— текущее значение метрики </w:t>
      </w:r>
      <w:r>
        <w:rPr>
          <w:rFonts w:ascii="Cambria Math" w:hAnsi="Cambria Math" w:cs="Cambria Math"/>
          <w:color w:val="000000"/>
          <w:sz w:val="24"/>
          <w:szCs w:val="24"/>
        </w:rPr>
        <w:t xml:space="preserve">𝑇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𝑆𝑃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23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Выполнение тест-кейсов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spacing w:after="23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/>
      <m:oMath>
        <m:sSup>
          <m:sSupPr>
            <m:ctrlPr>
              <w:rPr>
                <w:rFonts w:ascii="Cambria Math" w:hAnsi="Cambria Math" w:cs="Cambria Math"/>
                <w:i/>
                <w:color w:val="000000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color w:val="000000"/>
                <w:sz w:val="24"/>
                <w:szCs w:val="24"/>
                <w:lang w:val="en-US"/>
              </w:rPr>
              <m:rPr/>
              <m:t>T</m:t>
            </m:r>
          </m:e>
          <m:sup>
            <m:r>
              <w:rPr>
                <w:rFonts w:ascii="Cambria Math" w:hAnsi="Cambria Math" w:cs="Cambria Math"/>
                <w:color w:val="000000"/>
                <w:sz w:val="24"/>
                <w:szCs w:val="24"/>
                <w:lang w:val="en-US"/>
              </w:rPr>
              <m:rPr/>
              <m:t>E</m:t>
            </m:r>
          </m:sup>
        </m:sSup>
        <m:r>
          <w:rPr>
            <w:rFonts w:ascii="Cambria Math" w:hAnsi="Cambria Math" w:cs="Cambria Math"/>
            <w:color w:val="000000"/>
            <w:sz w:val="24"/>
            <w:szCs w:val="24"/>
          </w:rPr>
          <m:rPr/>
          <m:t>=</m:t>
        </m:r>
        <m:f>
          <m:fPr>
            <m:ctrlPr>
              <w:rPr>
                <w:rFonts w:ascii="Cambria Math" w:hAnsi="Cambria Math" w:cs="Cambria Math"/>
                <w:i/>
                <w:color w:val="000000"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T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Executed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T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Planned</m:t>
                </m:r>
              </m:sup>
            </m:sSup>
          </m:den>
        </m:f>
        <m:r>
          <w:rPr>
            <w:rFonts w:ascii="Cambria Math" w:hAnsi="Cambria Math" w:cs="Cambria Math"/>
            <w:color w:val="000000"/>
            <w:sz w:val="24"/>
            <w:szCs w:val="24"/>
          </w:rPr>
          <m:rPr/>
          <m:t>*100%</m:t>
        </m:r>
      </m:oMath>
      <w:r>
        <w:rPr>
          <w:rFonts w:ascii="Times New Roman" w:hAnsi="Times New Roman" w:cs="Times New Roman"/>
          <w:color w:val="000000"/>
          <w:sz w:val="24"/>
          <w:szCs w:val="24"/>
        </w:rPr>
        <w:t xml:space="preserve">, где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𝑇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— процентный показатель выполнения тест-кейсов,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𝑇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𝐸𝑥𝑒𝑐𝑢𝑡𝑒𝑑</w: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— количество выполненных тест-кейсов,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𝑇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𝑃𝑙𝑎𝑛𝑛𝑒𝑑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— количество тест-кейсов, запланированных к выполнению.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Уровни (границы):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734"/>
        <w:numPr>
          <w:ilvl w:val="0"/>
          <w:numId w:val="20"/>
        </w:numPr>
        <w:spacing w:after="23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Минимальный уровень: 80 %.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734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Желаемый уровень: 95–100 %.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П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окрытие требований тест-кейсами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/>
      <m:oMath>
        <m:sSup>
          <m:sSupPr>
            <m:ctrlPr>
              <w:rPr>
                <w:rFonts w:ascii="Cambria Math" w:hAnsi="Cambria Math" w:cs="Cambria Math"/>
                <w:i/>
                <w:color w:val="000000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Cambria Math"/>
                <w:color w:val="000000"/>
                <w:sz w:val="24"/>
                <w:szCs w:val="24"/>
                <w:lang w:val="en-US"/>
              </w:rPr>
              <m:rPr/>
              <m:t>R</m:t>
            </m:r>
          </m:e>
          <m:sup>
            <m:r>
              <w:rPr>
                <w:rFonts w:ascii="Cambria Math" w:hAnsi="Cambria Math" w:cs="Cambria Math"/>
                <w:color w:val="000000"/>
                <w:sz w:val="24"/>
                <w:szCs w:val="24"/>
                <w:lang w:val="en-US"/>
              </w:rPr>
              <m:rPr/>
              <m:t>C</m:t>
            </m:r>
          </m:sup>
        </m:sSup>
        <m:r>
          <w:rPr>
            <w:rFonts w:ascii="Cambria Math" w:hAnsi="Cambria Math" w:cs="Cambria Math"/>
            <w:color w:val="000000"/>
            <w:sz w:val="24"/>
            <w:szCs w:val="24"/>
          </w:rPr>
          <m:rPr/>
          <m:t>=</m:t>
        </m:r>
        <m:f>
          <m:fPr>
            <m:ctrlPr>
              <w:rPr>
                <w:rFonts w:ascii="Cambria Math" w:hAnsi="Cambria Math" w:cs="Cambria Math"/>
                <w:i/>
                <w:color w:val="000000"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R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Covered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  <w:color w:val="000000"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R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sz w:val="24"/>
                    <w:szCs w:val="24"/>
                    <w:lang w:val="en-US"/>
                  </w:rPr>
                  <m:rPr/>
                  <m:t>Total</m:t>
                </m:r>
              </m:sup>
            </m:sSup>
          </m:den>
        </m:f>
        <m:r>
          <w:rPr>
            <w:rFonts w:ascii="Cambria Math" w:hAnsi="Cambria Math" w:cs="Cambria Math"/>
            <w:color w:val="000000"/>
            <w:sz w:val="24"/>
            <w:szCs w:val="24"/>
          </w:rPr>
          <m:rPr/>
          <m:t>*100%</m:t>
        </m:r>
      </m:oMath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где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𝑅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𝐶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— процентный показатель покрытия требования тест-кейсами,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𝑅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𝐶𝑜𝑣𝑒𝑟𝑒𝑑</w:t>
      </w:r>
      <w:r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— количество покрытых тест-кейсами требований,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Cambria Math" w:hAnsi="Cambria Math" w:cs="Cambria Math"/>
          <w:color w:val="000000"/>
          <w:sz w:val="24"/>
          <w:szCs w:val="24"/>
        </w:rPr>
        <w:t xml:space="preserve">𝑅</w:t>
      </w:r>
      <w:r>
        <w:rPr>
          <w:rFonts w:ascii="Cambria Math" w:hAnsi="Cambria Math" w:cs="Cambria Math"/>
          <w:color w:val="000000"/>
          <w:sz w:val="24"/>
          <w:szCs w:val="24"/>
          <w:vertAlign w:val="superscript"/>
        </w:rPr>
        <w:t xml:space="preserve">𝑇𝑜𝑡𝑎𝑙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— общее количество требований.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Минимальные границы значений: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numPr>
          <w:ilvl w:val="1"/>
          <w:numId w:val="21"/>
        </w:numPr>
        <w:ind w:left="284"/>
        <w:spacing w:after="23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Начальная фаза проекта: 40 %.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numPr>
          <w:ilvl w:val="1"/>
          <w:numId w:val="21"/>
        </w:numPr>
        <w:ind w:left="284"/>
        <w:spacing w:after="23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Основная фаза проекта: 60 %.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numPr>
          <w:ilvl w:val="1"/>
          <w:numId w:val="21"/>
        </w:numPr>
        <w:ind w:left="284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Финальная фаза проекта: 80 % (рекомендуется 90 % и более). </w: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567" w:right="424" w:bottom="426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•"/>
      <w:lvlJc w:val="left"/>
      <w:pPr/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/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•"/>
      <w:lvlJc w:val="left"/>
      <w:pPr/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•"/>
      <w:lvlJc w:val="left"/>
      <w:pPr/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•"/>
      <w:lvlJc w:val="left"/>
      <w:pPr/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•"/>
      <w:lvlJc w:val="left"/>
      <w:pPr/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•"/>
      <w:lvlJc w:val="left"/>
      <w:pPr/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•"/>
      <w:lvlJc w:val="left"/>
      <w:pPr/>
    </w:lvl>
    <w:lvl w:ilvl="1">
      <w:start w:val="1"/>
      <w:numFmt w:val="bullet"/>
      <w:isLgl w:val="false"/>
      <w:suff w:val="tab"/>
      <w:lvlText w:val=""/>
      <w:lvlJc w:val="left"/>
      <w:pPr/>
      <w:rPr>
        <w:rFonts w:hint="default" w:ascii="Symbol" w:hAnsi="Symbol"/>
      </w:rPr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•"/>
      <w:lvlJc w:val="left"/>
      <w:pPr/>
    </w:lvl>
    <w:lvl w:ilvl="1">
      <w:start w:val="1"/>
      <w:numFmt w:val="decimal"/>
      <w:isLgl w:val="false"/>
      <w:suff w:val="tab"/>
      <w:lvlText w:val=""/>
      <w:lvlJc w:val="left"/>
      <w:pPr/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num w:numId="1">
    <w:abstractNumId w:val="13"/>
  </w:num>
  <w:num w:numId="2">
    <w:abstractNumId w:val="15"/>
  </w:num>
  <w:num w:numId="3">
    <w:abstractNumId w:val="14"/>
  </w:num>
  <w:num w:numId="4">
    <w:abstractNumId w:val="7"/>
  </w:num>
  <w:num w:numId="5">
    <w:abstractNumId w:val="18"/>
  </w:num>
  <w:num w:numId="6">
    <w:abstractNumId w:val="5"/>
  </w:num>
  <w:num w:numId="7">
    <w:abstractNumId w:val="8"/>
  </w:num>
  <w:num w:numId="8">
    <w:abstractNumId w:val="10"/>
  </w:num>
  <w:num w:numId="9">
    <w:abstractNumId w:val="16"/>
  </w:num>
  <w:num w:numId="10">
    <w:abstractNumId w:val="12"/>
  </w:num>
  <w:num w:numId="11">
    <w:abstractNumId w:val="20"/>
  </w:num>
  <w:num w:numId="12">
    <w:abstractNumId w:val="0"/>
  </w:num>
  <w:num w:numId="13">
    <w:abstractNumId w:val="6"/>
  </w:num>
  <w:num w:numId="14">
    <w:abstractNumId w:val="1"/>
  </w:num>
  <w:num w:numId="15">
    <w:abstractNumId w:val="3"/>
  </w:num>
  <w:num w:numId="16">
    <w:abstractNumId w:val="4"/>
  </w:num>
  <w:num w:numId="17">
    <w:abstractNumId w:val="2"/>
  </w:num>
  <w:num w:numId="18">
    <w:abstractNumId w:val="17"/>
  </w:num>
  <w:num w:numId="19">
    <w:abstractNumId w:val="11"/>
  </w:num>
  <w:num w:numId="20">
    <w:abstractNumId w:val="9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6">
    <w:name w:val="Heading 1 Char"/>
    <w:basedOn w:val="722"/>
    <w:link w:val="713"/>
    <w:uiPriority w:val="9"/>
    <w:rPr>
      <w:rFonts w:ascii="Arial" w:hAnsi="Arial" w:eastAsia="Arial" w:cs="Arial"/>
      <w:sz w:val="40"/>
      <w:szCs w:val="40"/>
    </w:rPr>
  </w:style>
  <w:style w:type="character" w:styleId="697">
    <w:name w:val="Heading 2 Char"/>
    <w:basedOn w:val="722"/>
    <w:link w:val="714"/>
    <w:uiPriority w:val="9"/>
    <w:rPr>
      <w:rFonts w:ascii="Arial" w:hAnsi="Arial" w:eastAsia="Arial" w:cs="Arial"/>
      <w:sz w:val="34"/>
    </w:rPr>
  </w:style>
  <w:style w:type="character" w:styleId="698">
    <w:name w:val="Heading 5 Char"/>
    <w:basedOn w:val="722"/>
    <w:link w:val="717"/>
    <w:uiPriority w:val="9"/>
    <w:rPr>
      <w:rFonts w:ascii="Arial" w:hAnsi="Arial" w:eastAsia="Arial" w:cs="Arial"/>
      <w:b/>
      <w:bCs/>
      <w:sz w:val="24"/>
      <w:szCs w:val="24"/>
    </w:rPr>
  </w:style>
  <w:style w:type="character" w:styleId="699">
    <w:name w:val="Heading 6 Char"/>
    <w:basedOn w:val="722"/>
    <w:link w:val="718"/>
    <w:uiPriority w:val="9"/>
    <w:rPr>
      <w:rFonts w:ascii="Arial" w:hAnsi="Arial" w:eastAsia="Arial" w:cs="Arial"/>
      <w:b/>
      <w:bCs/>
      <w:sz w:val="22"/>
      <w:szCs w:val="22"/>
    </w:rPr>
  </w:style>
  <w:style w:type="character" w:styleId="700">
    <w:name w:val="Heading 7 Char"/>
    <w:basedOn w:val="722"/>
    <w:link w:val="71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01">
    <w:name w:val="Heading 8 Char"/>
    <w:basedOn w:val="722"/>
    <w:link w:val="720"/>
    <w:uiPriority w:val="9"/>
    <w:rPr>
      <w:rFonts w:ascii="Arial" w:hAnsi="Arial" w:eastAsia="Arial" w:cs="Arial"/>
      <w:i/>
      <w:iCs/>
      <w:sz w:val="22"/>
      <w:szCs w:val="22"/>
    </w:rPr>
  </w:style>
  <w:style w:type="character" w:styleId="702">
    <w:name w:val="Heading 9 Char"/>
    <w:basedOn w:val="722"/>
    <w:link w:val="721"/>
    <w:uiPriority w:val="9"/>
    <w:rPr>
      <w:rFonts w:ascii="Arial" w:hAnsi="Arial" w:eastAsia="Arial" w:cs="Arial"/>
      <w:i/>
      <w:iCs/>
      <w:sz w:val="21"/>
      <w:szCs w:val="21"/>
    </w:rPr>
  </w:style>
  <w:style w:type="character" w:styleId="703">
    <w:name w:val="Title Char"/>
    <w:basedOn w:val="722"/>
    <w:link w:val="736"/>
    <w:uiPriority w:val="10"/>
    <w:rPr>
      <w:sz w:val="48"/>
      <w:szCs w:val="48"/>
    </w:rPr>
  </w:style>
  <w:style w:type="character" w:styleId="704">
    <w:name w:val="Subtitle Char"/>
    <w:basedOn w:val="722"/>
    <w:link w:val="738"/>
    <w:uiPriority w:val="11"/>
    <w:rPr>
      <w:sz w:val="24"/>
      <w:szCs w:val="24"/>
    </w:rPr>
  </w:style>
  <w:style w:type="character" w:styleId="705">
    <w:name w:val="Quote Char"/>
    <w:link w:val="740"/>
    <w:uiPriority w:val="29"/>
    <w:rPr>
      <w:i/>
    </w:rPr>
  </w:style>
  <w:style w:type="character" w:styleId="706">
    <w:name w:val="Intense Quote Char"/>
    <w:link w:val="742"/>
    <w:uiPriority w:val="30"/>
    <w:rPr>
      <w:i/>
    </w:rPr>
  </w:style>
  <w:style w:type="character" w:styleId="707">
    <w:name w:val="Header Char"/>
    <w:basedOn w:val="722"/>
    <w:link w:val="744"/>
    <w:uiPriority w:val="99"/>
  </w:style>
  <w:style w:type="character" w:styleId="708">
    <w:name w:val="Footer Char"/>
    <w:basedOn w:val="722"/>
    <w:link w:val="746"/>
    <w:uiPriority w:val="99"/>
  </w:style>
  <w:style w:type="character" w:styleId="709">
    <w:name w:val="Caption Char"/>
    <w:basedOn w:val="722"/>
    <w:link w:val="748"/>
    <w:uiPriority w:val="35"/>
    <w:rPr>
      <w:b/>
      <w:bCs/>
      <w:color w:val="4f81bd" w:themeColor="accent1"/>
      <w:sz w:val="18"/>
      <w:szCs w:val="18"/>
    </w:rPr>
  </w:style>
  <w:style w:type="character" w:styleId="710">
    <w:name w:val="Footnote Text Char"/>
    <w:link w:val="877"/>
    <w:uiPriority w:val="99"/>
    <w:rPr>
      <w:sz w:val="18"/>
    </w:rPr>
  </w:style>
  <w:style w:type="character" w:styleId="711">
    <w:name w:val="Endnote Text Char"/>
    <w:link w:val="880"/>
    <w:uiPriority w:val="99"/>
    <w:rPr>
      <w:sz w:val="20"/>
    </w:rPr>
  </w:style>
  <w:style w:type="paragraph" w:styleId="712" w:default="1">
    <w:name w:val="Normal"/>
    <w:qFormat/>
  </w:style>
  <w:style w:type="paragraph" w:styleId="713">
    <w:name w:val="Heading 1"/>
    <w:basedOn w:val="712"/>
    <w:next w:val="712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14">
    <w:name w:val="Heading 2"/>
    <w:basedOn w:val="712"/>
    <w:next w:val="712"/>
    <w:link w:val="72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15">
    <w:name w:val="Heading 3"/>
    <w:basedOn w:val="712"/>
    <w:link w:val="894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716">
    <w:name w:val="Heading 4"/>
    <w:basedOn w:val="712"/>
    <w:link w:val="895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717">
    <w:name w:val="Heading 5"/>
    <w:basedOn w:val="712"/>
    <w:next w:val="712"/>
    <w:link w:val="72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18">
    <w:name w:val="Heading 6"/>
    <w:basedOn w:val="712"/>
    <w:next w:val="712"/>
    <w:link w:val="73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19">
    <w:name w:val="Heading 7"/>
    <w:basedOn w:val="712"/>
    <w:next w:val="712"/>
    <w:link w:val="73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720">
    <w:name w:val="Heading 8"/>
    <w:basedOn w:val="712"/>
    <w:next w:val="712"/>
    <w:link w:val="73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721">
    <w:name w:val="Heading 9"/>
    <w:basedOn w:val="712"/>
    <w:next w:val="712"/>
    <w:link w:val="73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2" w:default="1">
    <w:name w:val="Default Paragraph Font"/>
    <w:uiPriority w:val="1"/>
    <w:unhideWhenUsed/>
  </w:style>
  <w:style w:type="table" w:styleId="72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24" w:default="1">
    <w:name w:val="No List"/>
    <w:uiPriority w:val="99"/>
    <w:semiHidden/>
    <w:unhideWhenUsed/>
  </w:style>
  <w:style w:type="character" w:styleId="725" w:customStyle="1">
    <w:name w:val="Заголовок 1 Знак"/>
    <w:basedOn w:val="722"/>
    <w:link w:val="713"/>
    <w:uiPriority w:val="9"/>
    <w:rPr>
      <w:rFonts w:ascii="Arial" w:hAnsi="Arial" w:eastAsia="Arial" w:cs="Arial"/>
      <w:sz w:val="40"/>
      <w:szCs w:val="40"/>
    </w:rPr>
  </w:style>
  <w:style w:type="character" w:styleId="726" w:customStyle="1">
    <w:name w:val="Заголовок 2 Знак"/>
    <w:basedOn w:val="722"/>
    <w:link w:val="714"/>
    <w:uiPriority w:val="9"/>
    <w:rPr>
      <w:rFonts w:ascii="Arial" w:hAnsi="Arial" w:eastAsia="Arial" w:cs="Arial"/>
      <w:sz w:val="34"/>
    </w:rPr>
  </w:style>
  <w:style w:type="character" w:styleId="727" w:customStyle="1">
    <w:name w:val="Heading 3 Char"/>
    <w:basedOn w:val="722"/>
    <w:uiPriority w:val="9"/>
    <w:rPr>
      <w:rFonts w:ascii="Arial" w:hAnsi="Arial" w:eastAsia="Arial" w:cs="Arial"/>
      <w:sz w:val="30"/>
      <w:szCs w:val="30"/>
    </w:rPr>
  </w:style>
  <w:style w:type="character" w:styleId="728" w:customStyle="1">
    <w:name w:val="Heading 4 Char"/>
    <w:basedOn w:val="722"/>
    <w:uiPriority w:val="9"/>
    <w:rPr>
      <w:rFonts w:ascii="Arial" w:hAnsi="Arial" w:eastAsia="Arial" w:cs="Arial"/>
      <w:b/>
      <w:bCs/>
      <w:sz w:val="26"/>
      <w:szCs w:val="26"/>
    </w:rPr>
  </w:style>
  <w:style w:type="character" w:styleId="729" w:customStyle="1">
    <w:name w:val="Заголовок 5 Знак"/>
    <w:basedOn w:val="722"/>
    <w:link w:val="717"/>
    <w:uiPriority w:val="9"/>
    <w:rPr>
      <w:rFonts w:ascii="Arial" w:hAnsi="Arial" w:eastAsia="Arial" w:cs="Arial"/>
      <w:b/>
      <w:bCs/>
      <w:sz w:val="24"/>
      <w:szCs w:val="24"/>
    </w:rPr>
  </w:style>
  <w:style w:type="character" w:styleId="730" w:customStyle="1">
    <w:name w:val="Заголовок 6 Знак"/>
    <w:basedOn w:val="722"/>
    <w:link w:val="718"/>
    <w:uiPriority w:val="9"/>
    <w:rPr>
      <w:rFonts w:ascii="Arial" w:hAnsi="Arial" w:eastAsia="Arial" w:cs="Arial"/>
      <w:b/>
      <w:bCs/>
      <w:sz w:val="22"/>
      <w:szCs w:val="22"/>
    </w:rPr>
  </w:style>
  <w:style w:type="character" w:styleId="731" w:customStyle="1">
    <w:name w:val="Заголовок 7 Знак"/>
    <w:basedOn w:val="722"/>
    <w:link w:val="71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32" w:customStyle="1">
    <w:name w:val="Заголовок 8 Знак"/>
    <w:basedOn w:val="722"/>
    <w:link w:val="720"/>
    <w:uiPriority w:val="9"/>
    <w:rPr>
      <w:rFonts w:ascii="Arial" w:hAnsi="Arial" w:eastAsia="Arial" w:cs="Arial"/>
      <w:i/>
      <w:iCs/>
      <w:sz w:val="22"/>
      <w:szCs w:val="22"/>
    </w:rPr>
  </w:style>
  <w:style w:type="character" w:styleId="733" w:customStyle="1">
    <w:name w:val="Заголовок 9 Знак"/>
    <w:basedOn w:val="722"/>
    <w:link w:val="721"/>
    <w:uiPriority w:val="9"/>
    <w:rPr>
      <w:rFonts w:ascii="Arial" w:hAnsi="Arial" w:eastAsia="Arial" w:cs="Arial"/>
      <w:i/>
      <w:iCs/>
      <w:sz w:val="21"/>
      <w:szCs w:val="21"/>
    </w:rPr>
  </w:style>
  <w:style w:type="paragraph" w:styleId="734">
    <w:name w:val="List Paragraph"/>
    <w:basedOn w:val="712"/>
    <w:uiPriority w:val="34"/>
    <w:qFormat/>
    <w:pPr>
      <w:contextualSpacing/>
      <w:ind w:left="720"/>
    </w:pPr>
  </w:style>
  <w:style w:type="paragraph" w:styleId="735">
    <w:name w:val="No Spacing"/>
    <w:uiPriority w:val="1"/>
    <w:qFormat/>
    <w:pPr>
      <w:spacing w:after="0" w:line="240" w:lineRule="auto"/>
    </w:pPr>
  </w:style>
  <w:style w:type="paragraph" w:styleId="736">
    <w:name w:val="Title"/>
    <w:basedOn w:val="712"/>
    <w:next w:val="712"/>
    <w:link w:val="7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37" w:customStyle="1">
    <w:name w:val="Заголовок Знак"/>
    <w:basedOn w:val="722"/>
    <w:link w:val="736"/>
    <w:uiPriority w:val="10"/>
    <w:rPr>
      <w:sz w:val="48"/>
      <w:szCs w:val="48"/>
    </w:rPr>
  </w:style>
  <w:style w:type="paragraph" w:styleId="738">
    <w:name w:val="Subtitle"/>
    <w:basedOn w:val="712"/>
    <w:next w:val="712"/>
    <w:link w:val="739"/>
    <w:uiPriority w:val="11"/>
    <w:qFormat/>
    <w:pPr>
      <w:spacing w:before="200" w:after="200"/>
    </w:pPr>
    <w:rPr>
      <w:sz w:val="24"/>
      <w:szCs w:val="24"/>
    </w:rPr>
  </w:style>
  <w:style w:type="character" w:styleId="739" w:customStyle="1">
    <w:name w:val="Подзаголовок Знак"/>
    <w:basedOn w:val="722"/>
    <w:link w:val="738"/>
    <w:uiPriority w:val="11"/>
    <w:rPr>
      <w:sz w:val="24"/>
      <w:szCs w:val="24"/>
    </w:rPr>
  </w:style>
  <w:style w:type="paragraph" w:styleId="740">
    <w:name w:val="Quote"/>
    <w:basedOn w:val="712"/>
    <w:next w:val="712"/>
    <w:link w:val="741"/>
    <w:uiPriority w:val="29"/>
    <w:qFormat/>
    <w:pPr>
      <w:ind w:left="720" w:right="720"/>
    </w:pPr>
    <w:rPr>
      <w:i/>
    </w:rPr>
  </w:style>
  <w:style w:type="character" w:styleId="741" w:customStyle="1">
    <w:name w:val="Цитата 2 Знак"/>
    <w:link w:val="740"/>
    <w:uiPriority w:val="29"/>
    <w:rPr>
      <w:i/>
    </w:rPr>
  </w:style>
  <w:style w:type="paragraph" w:styleId="742">
    <w:name w:val="Intense Quote"/>
    <w:basedOn w:val="712"/>
    <w:next w:val="712"/>
    <w:link w:val="74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43" w:customStyle="1">
    <w:name w:val="Выделенная цитата Знак"/>
    <w:link w:val="742"/>
    <w:uiPriority w:val="30"/>
    <w:rPr>
      <w:i/>
    </w:rPr>
  </w:style>
  <w:style w:type="paragraph" w:styleId="744">
    <w:name w:val="Header"/>
    <w:basedOn w:val="712"/>
    <w:link w:val="7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45" w:customStyle="1">
    <w:name w:val="Верхний колонтитул Знак"/>
    <w:basedOn w:val="722"/>
    <w:link w:val="744"/>
    <w:uiPriority w:val="99"/>
  </w:style>
  <w:style w:type="paragraph" w:styleId="746">
    <w:name w:val="Footer"/>
    <w:basedOn w:val="712"/>
    <w:link w:val="7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47" w:customStyle="1">
    <w:name w:val="Нижний колонтитул Знак"/>
    <w:basedOn w:val="722"/>
    <w:link w:val="746"/>
    <w:uiPriority w:val="99"/>
  </w:style>
  <w:style w:type="paragraph" w:styleId="748">
    <w:name w:val="Caption"/>
    <w:basedOn w:val="712"/>
    <w:next w:val="712"/>
    <w:link w:val="749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49" w:customStyle="1">
    <w:name w:val="Название объекта Знак"/>
    <w:basedOn w:val="722"/>
    <w:link w:val="748"/>
    <w:uiPriority w:val="35"/>
    <w:rPr>
      <w:b/>
      <w:bCs/>
      <w:color w:val="5b9bd5" w:themeColor="accent1"/>
      <w:sz w:val="18"/>
      <w:szCs w:val="18"/>
    </w:rPr>
  </w:style>
  <w:style w:type="table" w:styleId="750">
    <w:name w:val="Table Grid"/>
    <w:basedOn w:val="72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51" w:customStyle="1">
    <w:name w:val="Table Grid Light"/>
    <w:basedOn w:val="723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52">
    <w:name w:val="Plain Table 1"/>
    <w:basedOn w:val="723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3">
    <w:name w:val="Plain Table 2"/>
    <w:basedOn w:val="72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4">
    <w:name w:val="Plain Table 3"/>
    <w:basedOn w:val="72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5">
    <w:name w:val="Plain Table 4"/>
    <w:basedOn w:val="72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Plain Table 5"/>
    <w:basedOn w:val="72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57">
    <w:name w:val="Grid Table 1 Light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 w:customStyle="1">
    <w:name w:val="Grid Table 1 Light - Accent 1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 w:customStyle="1">
    <w:name w:val="Grid Table 1 Light - Accent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 w:customStyle="1">
    <w:name w:val="Grid Table 1 Light - Accent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 w:customStyle="1">
    <w:name w:val="Grid Table 1 Light - Accent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 w:customStyle="1">
    <w:name w:val="Grid Table 1 Light - Accent 5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 w:customStyle="1">
    <w:name w:val="Grid Table 1 Light - Accent 6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 w:customStyle="1">
    <w:name w:val="Grid Table 2 - Accent 1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 w:customStyle="1">
    <w:name w:val="Grid Table 2 - Accent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 w:customStyle="1">
    <w:name w:val="Grid Table 2 - Accent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 w:customStyle="1">
    <w:name w:val="Grid Table 2 - Accent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 w:customStyle="1">
    <w:name w:val="Grid Table 2 - Accent 5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 w:customStyle="1">
    <w:name w:val="Grid Table 2 - Accent 6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 w:customStyle="1">
    <w:name w:val="Grid Table 3 - Accent 1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 w:customStyle="1">
    <w:name w:val="Grid Table 3 - Accent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 w:customStyle="1">
    <w:name w:val="Grid Table 3 - Accent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 w:customStyle="1">
    <w:name w:val="Grid Table 3 - Accent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 w:customStyle="1">
    <w:name w:val="Grid Table 3 - Accent 5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 w:customStyle="1">
    <w:name w:val="Grid Table 3 - Accent 6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4"/>
    <w:basedOn w:val="723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9" w:customStyle="1">
    <w:name w:val="Grid Table 4 - Accent 1"/>
    <w:basedOn w:val="723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80" w:customStyle="1">
    <w:name w:val="Grid Table 4 - Accent 2"/>
    <w:basedOn w:val="723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81" w:customStyle="1">
    <w:name w:val="Grid Table 4 - Accent 3"/>
    <w:basedOn w:val="723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82" w:customStyle="1">
    <w:name w:val="Grid Table 4 - Accent 4"/>
    <w:basedOn w:val="723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83" w:customStyle="1">
    <w:name w:val="Grid Table 4 - Accent 5"/>
    <w:basedOn w:val="723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84" w:customStyle="1">
    <w:name w:val="Grid Table 4 - Accent 6"/>
    <w:basedOn w:val="723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85">
    <w:name w:val="Grid Table 5 Dark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86" w:customStyle="1">
    <w:name w:val="Grid Table 5 Dark- Accent 1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87" w:customStyle="1">
    <w:name w:val="Grid Table 5 Dark - Accent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88" w:customStyle="1">
    <w:name w:val="Grid Table 5 Dark - Accent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89" w:customStyle="1">
    <w:name w:val="Grid Table 5 Dark- Accent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90" w:customStyle="1">
    <w:name w:val="Grid Table 5 Dark - Accent 5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91" w:customStyle="1">
    <w:name w:val="Grid Table 5 Dark - Accent 6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92">
    <w:name w:val="Grid Table 6 Colorful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93" w:customStyle="1">
    <w:name w:val="Grid Table 6 Colorful - Accent 1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94" w:customStyle="1">
    <w:name w:val="Grid Table 6 Colorful - Accent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95" w:customStyle="1">
    <w:name w:val="Grid Table 6 Colorful - Accent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96" w:customStyle="1">
    <w:name w:val="Grid Table 6 Colorful - Accent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97" w:customStyle="1">
    <w:name w:val="Grid Table 6 Colorful - Accent 5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98" w:customStyle="1">
    <w:name w:val="Grid Table 6 Colorful - Accent 6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99">
    <w:name w:val="Grid Table 7 Colorful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0" w:customStyle="1">
    <w:name w:val="Grid Table 7 Colorful - Accent 1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1" w:customStyle="1">
    <w:name w:val="Grid Table 7 Colorful - Accent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2" w:customStyle="1">
    <w:name w:val="Grid Table 7 Colorful - Accent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3" w:customStyle="1">
    <w:name w:val="Grid Table 7 Colorful - Accent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4" w:customStyle="1">
    <w:name w:val="Grid Table 7 Colorful - Accent 5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5" w:customStyle="1">
    <w:name w:val="Grid Table 7 Colorful - Accent 6"/>
    <w:basedOn w:val="72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06">
    <w:name w:val="List Table 1 Light"/>
    <w:basedOn w:val="72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List Table 1 Light - Accent 1"/>
    <w:basedOn w:val="72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List Table 1 Light - Accent 2"/>
    <w:basedOn w:val="72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List Table 1 Light - Accent 3"/>
    <w:basedOn w:val="72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 w:customStyle="1">
    <w:name w:val="List Table 1 Light - Accent 4"/>
    <w:basedOn w:val="72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List Table 1 Light - Accent 5"/>
    <w:basedOn w:val="72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List Table 1 Light - Accent 6"/>
    <w:basedOn w:val="72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14" w:customStyle="1">
    <w:name w:val="List Table 2 - Accent 1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15" w:customStyle="1">
    <w:name w:val="List Table 2 - Accent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16" w:customStyle="1">
    <w:name w:val="List Table 2 - Accent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17" w:customStyle="1">
    <w:name w:val="List Table 2 - Accent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18" w:customStyle="1">
    <w:name w:val="List Table 2 - Accent 5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19" w:customStyle="1">
    <w:name w:val="List Table 2 - Accent 6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20">
    <w:name w:val="List Table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 w:customStyle="1">
    <w:name w:val="List Table 3 - Accent 1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 w:customStyle="1">
    <w:name w:val="List Table 3 - Accent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 w:customStyle="1">
    <w:name w:val="List Table 3 - Accent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List Table 3 - Accent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 w:customStyle="1">
    <w:name w:val="List Table 3 - Accent 5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List Table 3 - Accent 6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List Table 4 - Accent 1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List Table 4 - Accent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List Table 4 - Accent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 w:customStyle="1">
    <w:name w:val="List Table 4 - Accent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 w:customStyle="1">
    <w:name w:val="List Table 4 - Accent 5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List Table 4 - Accent 6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5 Dark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5" w:customStyle="1">
    <w:name w:val="List Table 5 Dark - Accent 1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6" w:customStyle="1">
    <w:name w:val="List Table 5 Dark - Accent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7" w:customStyle="1">
    <w:name w:val="List Table 5 Dark - Accent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8" w:customStyle="1">
    <w:name w:val="List Table 5 Dark - Accent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39" w:customStyle="1">
    <w:name w:val="List Table 5 Dark - Accent 5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0" w:customStyle="1">
    <w:name w:val="List Table 5 Dark - Accent 6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41">
    <w:name w:val="List Table 6 Colorful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42" w:customStyle="1">
    <w:name w:val="List Table 6 Colorful - Accent 1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43" w:customStyle="1">
    <w:name w:val="List Table 6 Colorful - Accent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44" w:customStyle="1">
    <w:name w:val="List Table 6 Colorful - Accent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45" w:customStyle="1">
    <w:name w:val="List Table 6 Colorful - Accent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46" w:customStyle="1">
    <w:name w:val="List Table 6 Colorful - Accent 5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47" w:customStyle="1">
    <w:name w:val="List Table 6 Colorful - Accent 6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48">
    <w:name w:val="List Table 7 Colorful"/>
    <w:basedOn w:val="72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9" w:customStyle="1">
    <w:name w:val="List Table 7 Colorful - Accent 1"/>
    <w:basedOn w:val="72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0" w:customStyle="1">
    <w:name w:val="List Table 7 Colorful - Accent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1" w:customStyle="1">
    <w:name w:val="List Table 7 Colorful - Accent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2" w:customStyle="1">
    <w:name w:val="List Table 7 Colorful - Accent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3" w:customStyle="1">
    <w:name w:val="List Table 7 Colorful - Accent 5"/>
    <w:basedOn w:val="72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4" w:customStyle="1">
    <w:name w:val="List Table 7 Colorful - Accent 6"/>
    <w:basedOn w:val="72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55" w:customStyle="1">
    <w:name w:val="Lined - Accent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56" w:customStyle="1">
    <w:name w:val="Lined - Accent 1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57" w:customStyle="1">
    <w:name w:val="Lined - Accent 2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58" w:customStyle="1">
    <w:name w:val="Lined - Accent 3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9" w:customStyle="1">
    <w:name w:val="Lined - Accent 4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60" w:customStyle="1">
    <w:name w:val="Lined - Accent 5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61" w:customStyle="1">
    <w:name w:val="Lined - Accent 6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62" w:customStyle="1">
    <w:name w:val="Bordered &amp; Lined - Accent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63" w:customStyle="1">
    <w:name w:val="Bordered &amp; Lined - Accent 1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64" w:customStyle="1">
    <w:name w:val="Bordered &amp; Lined - Accent 2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65" w:customStyle="1">
    <w:name w:val="Bordered &amp; Lined - Accent 3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66" w:customStyle="1">
    <w:name w:val="Bordered &amp; Lined - Accent 4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67" w:customStyle="1">
    <w:name w:val="Bordered &amp; Lined - Accent 5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68" w:customStyle="1">
    <w:name w:val="Bordered &amp; Lined - Accent 6"/>
    <w:basedOn w:val="72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69" w:customStyle="1">
    <w:name w:val="Bordered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70" w:customStyle="1">
    <w:name w:val="Bordered - Accent 1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71" w:customStyle="1">
    <w:name w:val="Bordered - Accent 2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72" w:customStyle="1">
    <w:name w:val="Bordered - Accent 3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73" w:customStyle="1">
    <w:name w:val="Bordered - Accent 4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74" w:customStyle="1">
    <w:name w:val="Bordered - Accent 5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75" w:customStyle="1">
    <w:name w:val="Bordered - Accent 6"/>
    <w:basedOn w:val="723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76">
    <w:name w:val="Hyperlink"/>
    <w:uiPriority w:val="99"/>
    <w:unhideWhenUsed/>
    <w:rPr>
      <w:color w:val="0563c1" w:themeColor="hyperlink"/>
      <w:u w:val="single"/>
    </w:rPr>
  </w:style>
  <w:style w:type="paragraph" w:styleId="877">
    <w:name w:val="footnote text"/>
    <w:basedOn w:val="712"/>
    <w:link w:val="878"/>
    <w:uiPriority w:val="99"/>
    <w:semiHidden/>
    <w:unhideWhenUsed/>
    <w:pPr>
      <w:spacing w:after="40" w:line="240" w:lineRule="auto"/>
    </w:pPr>
    <w:rPr>
      <w:sz w:val="18"/>
    </w:rPr>
  </w:style>
  <w:style w:type="character" w:styleId="878" w:customStyle="1">
    <w:name w:val="Текст сноски Знак"/>
    <w:link w:val="877"/>
    <w:uiPriority w:val="99"/>
    <w:rPr>
      <w:sz w:val="18"/>
    </w:rPr>
  </w:style>
  <w:style w:type="character" w:styleId="879">
    <w:name w:val="footnote reference"/>
    <w:basedOn w:val="722"/>
    <w:uiPriority w:val="99"/>
    <w:unhideWhenUsed/>
    <w:rPr>
      <w:vertAlign w:val="superscript"/>
    </w:rPr>
  </w:style>
  <w:style w:type="paragraph" w:styleId="880">
    <w:name w:val="endnote text"/>
    <w:basedOn w:val="712"/>
    <w:link w:val="881"/>
    <w:uiPriority w:val="99"/>
    <w:semiHidden/>
    <w:unhideWhenUsed/>
    <w:pPr>
      <w:spacing w:after="0" w:line="240" w:lineRule="auto"/>
    </w:pPr>
    <w:rPr>
      <w:sz w:val="20"/>
    </w:rPr>
  </w:style>
  <w:style w:type="character" w:styleId="881" w:customStyle="1">
    <w:name w:val="Текст концевой сноски Знак"/>
    <w:link w:val="880"/>
    <w:uiPriority w:val="99"/>
    <w:rPr>
      <w:sz w:val="20"/>
    </w:rPr>
  </w:style>
  <w:style w:type="character" w:styleId="882">
    <w:name w:val="endnote reference"/>
    <w:basedOn w:val="722"/>
    <w:uiPriority w:val="99"/>
    <w:semiHidden/>
    <w:unhideWhenUsed/>
    <w:rPr>
      <w:vertAlign w:val="superscript"/>
    </w:rPr>
  </w:style>
  <w:style w:type="paragraph" w:styleId="883">
    <w:name w:val="toc 1"/>
    <w:basedOn w:val="712"/>
    <w:next w:val="712"/>
    <w:uiPriority w:val="39"/>
    <w:unhideWhenUsed/>
    <w:pPr>
      <w:spacing w:after="57"/>
    </w:pPr>
  </w:style>
  <w:style w:type="paragraph" w:styleId="884">
    <w:name w:val="toc 2"/>
    <w:basedOn w:val="712"/>
    <w:next w:val="712"/>
    <w:uiPriority w:val="39"/>
    <w:unhideWhenUsed/>
    <w:pPr>
      <w:ind w:left="283"/>
      <w:spacing w:after="57"/>
    </w:pPr>
  </w:style>
  <w:style w:type="paragraph" w:styleId="885">
    <w:name w:val="toc 3"/>
    <w:basedOn w:val="712"/>
    <w:next w:val="712"/>
    <w:uiPriority w:val="39"/>
    <w:unhideWhenUsed/>
    <w:pPr>
      <w:ind w:left="567"/>
      <w:spacing w:after="57"/>
    </w:pPr>
  </w:style>
  <w:style w:type="paragraph" w:styleId="886">
    <w:name w:val="toc 4"/>
    <w:basedOn w:val="712"/>
    <w:next w:val="712"/>
    <w:uiPriority w:val="39"/>
    <w:unhideWhenUsed/>
    <w:pPr>
      <w:ind w:left="850"/>
      <w:spacing w:after="57"/>
    </w:pPr>
  </w:style>
  <w:style w:type="paragraph" w:styleId="887">
    <w:name w:val="toc 5"/>
    <w:basedOn w:val="712"/>
    <w:next w:val="712"/>
    <w:uiPriority w:val="39"/>
    <w:unhideWhenUsed/>
    <w:pPr>
      <w:ind w:left="1134"/>
      <w:spacing w:after="57"/>
    </w:pPr>
  </w:style>
  <w:style w:type="paragraph" w:styleId="888">
    <w:name w:val="toc 6"/>
    <w:basedOn w:val="712"/>
    <w:next w:val="712"/>
    <w:uiPriority w:val="39"/>
    <w:unhideWhenUsed/>
    <w:pPr>
      <w:ind w:left="1417"/>
      <w:spacing w:after="57"/>
    </w:pPr>
  </w:style>
  <w:style w:type="paragraph" w:styleId="889">
    <w:name w:val="toc 7"/>
    <w:basedOn w:val="712"/>
    <w:next w:val="712"/>
    <w:uiPriority w:val="39"/>
    <w:unhideWhenUsed/>
    <w:pPr>
      <w:ind w:left="1701"/>
      <w:spacing w:after="57"/>
    </w:pPr>
  </w:style>
  <w:style w:type="paragraph" w:styleId="890">
    <w:name w:val="toc 8"/>
    <w:basedOn w:val="712"/>
    <w:next w:val="712"/>
    <w:uiPriority w:val="39"/>
    <w:unhideWhenUsed/>
    <w:pPr>
      <w:ind w:left="1984"/>
      <w:spacing w:after="57"/>
    </w:pPr>
  </w:style>
  <w:style w:type="paragraph" w:styleId="891">
    <w:name w:val="toc 9"/>
    <w:basedOn w:val="712"/>
    <w:next w:val="712"/>
    <w:uiPriority w:val="39"/>
    <w:unhideWhenUsed/>
    <w:pPr>
      <w:ind w:left="2268"/>
      <w:spacing w:after="57"/>
    </w:pPr>
  </w:style>
  <w:style w:type="paragraph" w:styleId="892">
    <w:name w:val="TOC Heading"/>
    <w:uiPriority w:val="39"/>
    <w:unhideWhenUsed/>
  </w:style>
  <w:style w:type="paragraph" w:styleId="893">
    <w:name w:val="table of figures"/>
    <w:basedOn w:val="712"/>
    <w:next w:val="712"/>
    <w:uiPriority w:val="99"/>
    <w:unhideWhenUsed/>
    <w:pPr>
      <w:spacing w:after="0"/>
    </w:pPr>
  </w:style>
  <w:style w:type="character" w:styleId="894" w:customStyle="1">
    <w:name w:val="Заголовок 3 Знак"/>
    <w:basedOn w:val="722"/>
    <w:link w:val="715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895" w:customStyle="1">
    <w:name w:val="Заголовок 4 Знак"/>
    <w:basedOn w:val="722"/>
    <w:link w:val="716"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896">
    <w:name w:val="Strong"/>
    <w:basedOn w:val="722"/>
    <w:uiPriority w:val="22"/>
    <w:qFormat/>
    <w:rPr>
      <w:b/>
      <w:bCs/>
    </w:rPr>
  </w:style>
  <w:style w:type="paragraph" w:styleId="897" w:customStyle="1">
    <w:name w:val="ds-markdown-paragraph"/>
    <w:basedOn w:val="71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98">
    <w:name w:val="HTML Code"/>
    <w:basedOn w:val="722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paragraph" w:styleId="899" w:customStyle="1">
    <w:name w:val="Default"/>
    <w:pPr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900">
    <w:name w:val="Placeholder Text"/>
    <w:basedOn w:val="722"/>
    <w:uiPriority w:val="99"/>
    <w:semiHidden/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Скобликов Вадим Анатольевич</dc:creator>
  <cp:keywords/>
  <dc:description/>
  <cp:lastModifiedBy>Вадим Скобликов</cp:lastModifiedBy>
  <cp:revision>49</cp:revision>
  <dcterms:created xsi:type="dcterms:W3CDTF">2025-12-10T07:25:00Z</dcterms:created>
  <dcterms:modified xsi:type="dcterms:W3CDTF">2026-01-13T12:15:49Z</dcterms:modified>
</cp:coreProperties>
</file>