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f6rs51tvy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Titre de l'Issue 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[Type]-[Composant]: Description courte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h2rzxzuho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Une description détaillée de ce qui est requis. Inclure le contexte et le but de la demande pour aider les contributeurs à comprendre la nécessité de cette configuration.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wrkpmtgo5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Objectifs 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Objectif 1 (description précise de ce qui doit être atteint)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Objectif 2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Objectif 3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0p91pvmmh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Critères d'Acceptation 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Listez les conditions qui doivent être remplies pour que cette issue soit considérée comme complète.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Critère 1 (exemple : La configuration doit être testée dans l'environnement de staging avant le déploiement)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Critère 2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Critère 3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v832yvoll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Dépendances 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Indiquez si cette tâche dépend d'autres issues ou tâches.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Dépendance 1 (inclure un lien vers l'issue correspondante si possible)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Dépendance 2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e866csda7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Ressources 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Liens vers des ressources externes, documentation, ou tout autre matériel pouvant aider à résoudre cette issue.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f62q3m0l7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Tâches 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Décomposez la tâche principale en sous-tâches plus petites et plus gérables.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Sous-tâche 1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Sous-tâche 2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Sous-tâche 3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i4u1tdccq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Environnement 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Précisez l'environnement concerné par cette configuration (développement, test, production).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ku9ffjb4w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 supplémentaires 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Toute autre information qui pourrait être utile à ceux qui travaillent sur cette issue.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