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6604144ee8ec78c8c800fcc0d407f21d9c86c43"/>
    <w:p>
      <w:pPr>
        <w:pStyle w:val="Heading1"/>
      </w:pPr>
      <w:r>
        <w:t xml:space="preserve">Matriz de Rastreabilidade: Requisito → Pergunta → Gap → Risco → Ação</w:t>
      </w:r>
    </w:p>
    <w:p>
      <w:pPr>
        <w:pStyle w:val="FirstParagraph"/>
      </w:pPr>
      <w:r>
        <w:rPr>
          <w:bCs/>
          <w:b/>
        </w:rPr>
        <w:t xml:space="preserve">Versão: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Data:</w:t>
      </w:r>
      <w:r>
        <w:t xml:space="preserve"> </w:t>
      </w:r>
      <w:r>
        <w:t xml:space="preserve">2026-03-23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Proposta — aguardando aprovação do Orquestrador (gate B1)</w:t>
      </w:r>
      <w:r>
        <w:br/>
      </w:r>
      <w:r>
        <w:rPr>
          <w:bCs/>
          <w:b/>
        </w:rPr>
        <w:t xml:space="preserve">Issue:</w:t>
      </w:r>
      <w:r>
        <w:t xml:space="preserve"> </w:t>
      </w:r>
      <w:hyperlink r:id="rId20">
        <w:r>
          <w:rPr>
            <w:rStyle w:val="Hyperlink"/>
          </w:rPr>
          <w:t xml:space="preserve">#65</w:t>
        </w:r>
      </w:hyperlink>
      <w:r>
        <w:br/>
      </w:r>
      <w:r>
        <w:rPr>
          <w:bCs/>
          <w:b/>
        </w:rPr>
        <w:t xml:space="preserve">ADR:</w:t>
      </w:r>
      <w:r>
        <w:t xml:space="preserve"> </w:t>
      </w:r>
      <w:hyperlink r:id="rId21">
        <w:r>
          <w:rPr>
            <w:rStyle w:val="Hyperlink"/>
          </w:rPr>
          <w:t xml:space="preserve">ADR-010</w:t>
        </w:r>
      </w:hyperlink>
    </w:p>
    <w:p>
      <w:r>
        <w:pict>
          <v:rect style="width:0;height:1.5pt" o:hralign="center" o:hrstd="t" o:hr="t"/>
        </w:pict>
      </w:r>
    </w:p>
    <w:bookmarkStart w:id="22" w:name="visão-geral"/>
    <w:p>
      <w:pPr>
        <w:pStyle w:val="Heading2"/>
      </w:pPr>
      <w:r>
        <w:t xml:space="preserve">Visão geral</w:t>
      </w:r>
    </w:p>
    <w:p>
      <w:pPr>
        <w:pStyle w:val="FirstParagraph"/>
      </w:pPr>
      <w:r>
        <w:t xml:space="preserve">Este documento formaliza a cadeia de rastreabilidade completa da plataforma IA SOLARIS: cada requisito normativo aplicável deve ser rastreável até a ação corretiva, sem lacunas. A cadeia é inviolável — nenhum nó pode existir sem o nó anterior.</w:t>
      </w:r>
    </w:p>
    <w:p>
      <w:pPr>
        <w:pStyle w:val="SourceCode"/>
      </w:pPr>
      <w:r>
        <w:rPr>
          <w:rStyle w:val="VerbatimChar"/>
        </w:rPr>
        <w:t xml:space="preserve">RF-001 (LC 214 Art. 10)</w:t>
      </w:r>
      <w:r>
        <w:br/>
      </w:r>
      <w:r>
        <w:rPr>
          <w:rStyle w:val="VerbatimChar"/>
        </w:rPr>
        <w:t xml:space="preserve">  └── Q-001 (pergunta gerada pelo Question Engine)</w:t>
      </w:r>
      <w:r>
        <w:br/>
      </w:r>
      <w:r>
        <w:rPr>
          <w:rStyle w:val="VerbatimChar"/>
        </w:rPr>
        <w:t xml:space="preserve">        └── GAP-001 (classificado pelo Gap Engine)</w:t>
      </w:r>
      <w:r>
        <w:br/>
      </w:r>
      <w:r>
        <w:rPr>
          <w:rStyle w:val="VerbatimChar"/>
        </w:rPr>
        <w:t xml:space="preserve">              └── RISK-001 (gerado pelo Risk Engine)</w:t>
      </w:r>
      <w:r>
        <w:br/>
      </w:r>
      <w:r>
        <w:rPr>
          <w:rStyle w:val="VerbatimChar"/>
        </w:rPr>
        <w:t xml:space="preserve">                    └── ACTION-001 (gerada pelo Action Engine)</w:t>
      </w:r>
    </w:p>
    <w:p>
      <w:r>
        <w:pict>
          <v:rect style="width:0;height:1.5pt" o:hralign="center" o:hrstd="t" o:hr="t"/>
        </w:pict>
      </w:r>
    </w:p>
    <w:bookmarkEnd w:id="22"/>
    <w:bookmarkStart w:id="28" w:name="schema-canônico-por-nó"/>
    <w:p>
      <w:pPr>
        <w:pStyle w:val="Heading2"/>
      </w:pPr>
      <w:r>
        <w:t xml:space="preserve">Schema canônico por nó</w:t>
      </w:r>
    </w:p>
    <w:bookmarkStart w:id="23" w:name="nó-1-requisito-requirement"/>
    <w:p>
      <w:pPr>
        <w:pStyle w:val="Heading3"/>
      </w:pPr>
      <w:r>
        <w:t xml:space="preserve">Nó 1 — Requisito (Requirement)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Requirement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"RF-001"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"LC 214/2024 Art. 10 §2º"</w:t>
      </w:r>
      <w:r>
        <w:br/>
      </w:r>
      <w:r>
        <w:rPr>
          <w:rStyle w:val="NormalTok"/>
        </w:rPr>
        <w:t xml:space="preserve">  source_law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"LC 214/2024"</w:t>
      </w:r>
      <w:r>
        <w:br/>
      </w:r>
      <w:r>
        <w:rPr>
          <w:rStyle w:val="NormalTok"/>
        </w:rPr>
        <w:t xml:space="preserve">  source_article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"Art. 10 §2º"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Descrição do requisito</w:t>
      </w:r>
      <w:r>
        <w:br/>
      </w:r>
      <w:r>
        <w:rPr>
          <w:rStyle w:val="NormalTok"/>
        </w:rPr>
        <w:t xml:space="preserve">  applicable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true = aplicável ao perfil da empresa</w:t>
      </w:r>
      <w:r>
        <w:br/>
      </w:r>
      <w:r>
        <w:rPr>
          <w:rStyle w:val="NormalTok"/>
        </w:rPr>
        <w:t xml:space="preserve">  layer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"corporativo"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"operacional"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"cnae"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cnae_scope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CNAEs para os quais este requisito é aplicável</w:t>
      </w:r>
      <w:r>
        <w:br/>
      </w:r>
      <w:r>
        <w:rPr>
          <w:rStyle w:val="NormalTok"/>
        </w:rPr>
        <w:t xml:space="preserve">  porte_scope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Portes para os quais é aplicável</w:t>
      </w:r>
      <w:r>
        <w:br/>
      </w:r>
      <w:r>
        <w:rPr>
          <w:rStyle w:val="NormalTok"/>
        </w:rPr>
        <w:t xml:space="preserve">  regime_scope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Regimes tributários aplicáveis</w:t>
      </w:r>
      <w:r>
        <w:br/>
      </w:r>
      <w:r>
        <w:rPr>
          <w:rStyle w:val="NormalTok"/>
        </w:rPr>
        <w:t xml:space="preserve">  uf_scope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UFs aplicáveis ([] = todas)</w:t>
      </w:r>
      <w:r>
        <w:br/>
      </w:r>
      <w:r>
        <w:rPr>
          <w:rStyle w:val="NormalTok"/>
        </w:rPr>
        <w:t xml:space="preserve">  mandatory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true = obrigatório, false = condicional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nó-2-pergunta-question"/>
    <w:p>
      <w:pPr>
        <w:pStyle w:val="Heading3"/>
      </w:pPr>
      <w:r>
        <w:t xml:space="preserve">Nó 2 — Pergunta (Question)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Question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"Q-CORP-001"</w:t>
      </w:r>
      <w:r>
        <w:br/>
      </w:r>
      <w:r>
        <w:rPr>
          <w:rStyle w:val="NormalTok"/>
        </w:rPr>
        <w:t xml:space="preserve">  requirement_id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"RF-001" — OBRIGATÓRIO</w:t>
      </w:r>
      <w:r>
        <w:br/>
      </w:r>
      <w:r>
        <w:rPr>
          <w:rStyle w:val="NormalTok"/>
        </w:rPr>
        <w:t xml:space="preserve">  question_text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Texto da pergunta</w:t>
      </w:r>
      <w:r>
        <w:br/>
      </w:r>
      <w:r>
        <w:rPr>
          <w:rStyle w:val="NormalTok"/>
        </w:rPr>
        <w:t xml:space="preserve">  source_type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"regulatory"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"jurisprudence"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"best_practice"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source_reference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"LC 214/2024 Art. 10 §2º" — OBRIGATÓRIO</w:t>
      </w:r>
      <w:r>
        <w:br/>
      </w:r>
      <w:r>
        <w:rPr>
          <w:rStyle w:val="NormalTok"/>
        </w:rPr>
        <w:t xml:space="preserve">  confidence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1.0 a 5.0 (LLM-as-judge)</w:t>
      </w:r>
      <w:r>
        <w:br/>
      </w:r>
      <w:r>
        <w:rPr>
          <w:rStyle w:val="NormalTok"/>
        </w:rPr>
        <w:t xml:space="preserve">  stage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"corporativo"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"operacional"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"cnae"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cnae_code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Preenchido apenas para stage "cnae"</w:t>
      </w:r>
      <w:r>
        <w:br/>
      </w:r>
      <w:r>
        <w:rPr>
          <w:rStyle w:val="NormalTok"/>
        </w:rPr>
        <w:t xml:space="preserve">  deduplication_hash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Hash semântico para deduplicação</w:t>
      </w:r>
      <w:r>
        <w:br/>
      </w:r>
      <w:r>
        <w:rPr>
          <w:rStyle w:val="NormalTok"/>
        </w:rPr>
        <w:t xml:space="preserve">  blocked_by_no_question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 = bloqueada por falta de grounding RAG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Ajuste obrigatório do Orquestrador (gate B1 — 2026-03-24)</w:t>
      </w:r>
      <w:r>
        <w:br/>
      </w:r>
      <w:r>
        <w:rPr>
          <w:rStyle w:val="NormalTok"/>
        </w:rPr>
        <w:t xml:space="preserve">  quality_gate_status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"pending_valid_question"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"no_valid_question_generated"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quality_gate_attempts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ou 2; após 2 tentativas → no_valid_question_generated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Regra:</w:t>
      </w:r>
      <w:r>
        <w:t xml:space="preserve"> </w:t>
      </w:r>
      <w:r>
        <w:rPr>
          <w:rStyle w:val="VerbatimChar"/>
        </w:rPr>
        <w:t xml:space="preserve">source_type === "ai"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confidence: "low"</w:t>
      </w:r>
      <w:r>
        <w:t xml:space="preserve">, requer revisão humana.</w:t>
      </w:r>
      <w:r>
        <w:br/>
      </w:r>
      <w:r>
        <w:rPr>
          <w:bCs/>
          <w:b/>
        </w:rPr>
        <w:t xml:space="preserve">Regra:</w:t>
      </w:r>
      <w:r>
        <w:t xml:space="preserve"> </w:t>
      </w:r>
      <w:r>
        <w:rPr>
          <w:rStyle w:val="VerbatimChar"/>
        </w:rPr>
        <w:t xml:space="preserve">blocked_by_no_question === true</w:t>
      </w:r>
      <w:r>
        <w:t xml:space="preserve"> </w:t>
      </w:r>
      <w:r>
        <w:t xml:space="preserve">→ pergunta não incluída no questionário.</w:t>
      </w:r>
      <w:r>
        <w:br/>
      </w:r>
      <w:r>
        <w:rPr>
          <w:bCs/>
          <w:b/>
        </w:rPr>
        <w:t xml:space="preserve">Regra (Orquestrador):</w:t>
      </w:r>
      <w:r>
        <w:t xml:space="preserve"> </w:t>
      </w:r>
      <w:r>
        <w:rPr>
          <w:rStyle w:val="VerbatimChar"/>
        </w:rPr>
        <w:t xml:space="preserve">score &lt; 3.5</w:t>
      </w:r>
      <w:r>
        <w:t xml:space="preserve"> </w:t>
      </w:r>
      <w:r>
        <w:t xml:space="preserve">→ pergunta descartada; requisito permanece</w:t>
      </w:r>
      <w:r>
        <w:t xml:space="preserve"> </w:t>
      </w:r>
      <w:r>
        <w:rPr>
          <w:rStyle w:val="VerbatimChar"/>
        </w:rPr>
        <w:t xml:space="preserve">pending_valid_question</w:t>
      </w:r>
      <w:r>
        <w:t xml:space="preserve">; sistema tenta reformular (até 2 tentativas); após 2 falhas →</w:t>
      </w:r>
      <w:r>
        <w:t xml:space="preserve"> </w:t>
      </w:r>
      <w:r>
        <w:rPr>
          <w:rStyle w:val="VerbatimChar"/>
        </w:rPr>
        <w:t xml:space="preserve">no_valid_question_generated</w:t>
      </w:r>
      <w:r>
        <w:t xml:space="preserve">.</w:t>
      </w:r>
    </w:p>
    <w:bookmarkEnd w:id="24"/>
    <w:bookmarkStart w:id="25" w:name="nó-3-gap"/>
    <w:p>
      <w:pPr>
        <w:pStyle w:val="Heading3"/>
      </w:pPr>
      <w:r>
        <w:t xml:space="preserve">Nó 3 — Gap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Gap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"GAP-001"</w:t>
      </w:r>
      <w:r>
        <w:br/>
      </w:r>
      <w:r>
        <w:rPr>
          <w:rStyle w:val="NormalTok"/>
        </w:rPr>
        <w:t xml:space="preserve">  question_id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"Q-CORP-001" — OBRIGATÓRIO</w:t>
      </w:r>
      <w:r>
        <w:br/>
      </w:r>
      <w:r>
        <w:rPr>
          <w:rStyle w:val="NormalTok"/>
        </w:rPr>
        <w:t xml:space="preserve">  requirement_id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"RF-001" — OBRIGATÓRIO</w:t>
      </w:r>
      <w:r>
        <w:br/>
      </w:r>
      <w:r>
        <w:rPr>
          <w:rStyle w:val="NormalTok"/>
        </w:rPr>
        <w:t xml:space="preserve">  gap_status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"atende"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"nao_atende"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"parcial"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"evidencia_insuficiente"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"nao_aplicavel"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confidence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Resposta do usuário que fundamenta a classificação</w:t>
      </w:r>
      <w:r>
        <w:br/>
      </w:r>
      <w:r>
        <w:rPr>
          <w:rStyle w:val="NormalTok"/>
        </w:rPr>
        <w:t xml:space="preserve">  classification_method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"deterministic"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"llm_assisted"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llm_justification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Preenchido quando classification_method = "llm_assisted"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Ajuste obrigatório do Orquestrador (gate B1 — 2026-03-24)</w:t>
      </w:r>
      <w:r>
        <w:br/>
      </w:r>
      <w:r>
        <w:rPr>
          <w:rStyle w:val="NormalTok"/>
        </w:rPr>
        <w:t xml:space="preserve">  evaluation_confidence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evaluation_confidence_reason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obrigatório quando "low"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Regra:</w:t>
      </w:r>
      <w:r>
        <w:t xml:space="preserve"> </w:t>
      </w:r>
      <w:r>
        <w:rPr>
          <w:rStyle w:val="VerbatimChar"/>
        </w:rPr>
        <w:t xml:space="preserve">gap_status === "nao_aplicavel"</w:t>
      </w:r>
      <w:r>
        <w:t xml:space="preserve"> </w:t>
      </w:r>
      <w:r>
        <w:t xml:space="preserve">→ excluído do cálculo de coverage.</w:t>
      </w:r>
      <w:r>
        <w:br/>
      </w:r>
      <w:r>
        <w:rPr>
          <w:bCs/>
          <w:b/>
        </w:rPr>
        <w:t xml:space="preserve">Regra:</w:t>
      </w:r>
      <w:r>
        <w:t xml:space="preserve"> </w:t>
      </w:r>
      <w:r>
        <w:rPr>
          <w:rStyle w:val="VerbatimChar"/>
        </w:rPr>
        <w:t xml:space="preserve">gap_status === "evidencia_insuficiente"</w:t>
      </w:r>
      <w:r>
        <w:t xml:space="preserve"> </w:t>
      </w:r>
      <w:r>
        <w:t xml:space="preserve">→ tratado como risco oculto de alta severidade.</w:t>
      </w:r>
      <w:r>
        <w:br/>
      </w:r>
      <w:r>
        <w:rPr>
          <w:bCs/>
          <w:b/>
        </w:rPr>
        <w:t xml:space="preserve">Regra (Orquestrador):</w:t>
      </w:r>
      <w:r>
        <w:t xml:space="preserve"> </w:t>
      </w:r>
      <w:r>
        <w:rPr>
          <w:rStyle w:val="VerbatimChar"/>
        </w:rPr>
        <w:t xml:space="preserve">evaluation_confidence</w:t>
      </w:r>
      <w:r>
        <w:t xml:space="preserve"> </w:t>
      </w:r>
      <w:r>
        <w:t xml:space="preserve">derivado por regras determinísticas:</w:t>
      </w:r>
      <w:r>
        <w:t xml:space="preserve"> </w:t>
      </w:r>
      <w:r>
        <w:rPr>
          <w:rStyle w:val="VerbatimChar"/>
        </w:rPr>
        <w:t xml:space="preserve">deterministic + evidence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high</w:t>
      </w:r>
      <w:r>
        <w:t xml:space="preserve">;</w:t>
      </w:r>
      <w:r>
        <w:t xml:space="preserve"> </w:t>
      </w:r>
      <w:r>
        <w:rPr>
          <w:rStyle w:val="VerbatimChar"/>
        </w:rPr>
        <w:t xml:space="preserve">llm_assisted + evidence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;</w:t>
      </w:r>
      <w:r>
        <w:t xml:space="preserve"> </w:t>
      </w:r>
      <w:r>
        <w:rPr>
          <w:rStyle w:val="VerbatimChar"/>
        </w:rPr>
        <w:t xml:space="preserve">evidencia_insuficiente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vazio →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(sempre).</w:t>
      </w:r>
    </w:p>
    <w:bookmarkEnd w:id="25"/>
    <w:bookmarkStart w:id="26" w:name="nó-4-risco-risk"/>
    <w:p>
      <w:pPr>
        <w:pStyle w:val="Heading3"/>
      </w:pPr>
      <w:r>
        <w:t xml:space="preserve">Nó 4 — Risco (Risk)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Risk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"RISK-001"</w:t>
      </w:r>
      <w:r>
        <w:br/>
      </w:r>
      <w:r>
        <w:rPr>
          <w:rStyle w:val="NormalTok"/>
        </w:rPr>
        <w:t xml:space="preserve">  gap_id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"GAP-001" — OBRIGATÓRIO</w:t>
      </w:r>
      <w:r>
        <w:br/>
      </w:r>
      <w:r>
        <w:rPr>
          <w:rStyle w:val="NormalTok"/>
        </w:rPr>
        <w:t xml:space="preserve">  requirement_id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"RF-001" — OBRIGATÓRIO</w:t>
      </w:r>
      <w:r>
        <w:br/>
      </w:r>
      <w:r>
        <w:rPr>
          <w:rStyle w:val="NormalTok"/>
        </w:rPr>
        <w:t xml:space="preserve">  taxonomy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domain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"tributário"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"trabalhista"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"previdenciário"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"societário"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"operacional"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"apuração" | "recolhimento" | "obrigações_acessórias" | ...</w:t>
      </w:r>
      <w:r>
        <w:br/>
      </w:r>
      <w:r>
        <w:rPr>
          <w:rStyle w:val="NormalTok"/>
        </w:rPr>
        <w:t xml:space="preserve">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"erro_aliquota_cbs" | "atraso_recolhimento_ibs" | ...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risk_description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"média"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"baixa"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probability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"média"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"baixa"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score_base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severity_num × probability_num (1-9)</w:t>
      </w:r>
      <w:r>
        <w:br/>
      </w:r>
      <w:r>
        <w:rPr>
          <w:rStyle w:val="NormalTok"/>
        </w:rPr>
        <w:t xml:space="preserve">  ia_adjustment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-1.0 a +1.0</w:t>
      </w:r>
      <w:r>
        <w:br/>
      </w:r>
      <w:r>
        <w:rPr>
          <w:rStyle w:val="NormalTok"/>
        </w:rPr>
        <w:t xml:space="preserve">  ia_adjustment_justification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score_final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score_base + ia_adjustment (normalizado 1-10)</w:t>
      </w:r>
      <w:r>
        <w:br/>
      </w:r>
      <w:r>
        <w:rPr>
          <w:rStyle w:val="NormalTok"/>
        </w:rPr>
        <w:t xml:space="preserve">  impact_financial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"Multa de até 150% do tributo devido"</w:t>
      </w:r>
      <w:r>
        <w:br/>
      </w:r>
      <w:r>
        <w:rPr>
          <w:rStyle w:val="NormalTok"/>
        </w:rPr>
        <w:t xml:space="preserve">  impact_legal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"Autuação fiscal + juros SELIC"</w:t>
      </w:r>
      <w:r>
        <w:br/>
      </w:r>
      <w:r>
        <w:rPr>
          <w:rStyle w:val="NormalTok"/>
        </w:rPr>
        <w:t xml:space="preserve">  cluster_id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ID do cluster semântico (quando agrupado)</w:t>
      </w:r>
      <w:r>
        <w:br/>
      </w:r>
      <w:r>
        <w:rPr>
          <w:rStyle w:val="NormalTok"/>
        </w:rPr>
        <w:t xml:space="preserve">  is_hidden_risk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true quando origem é evidencia_insuficiente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Regra:</w:t>
      </w:r>
      <w:r>
        <w:t xml:space="preserve"> </w:t>
      </w:r>
      <w:r>
        <w:t xml:space="preserve">risco sem</w:t>
      </w:r>
      <w:r>
        <w:t xml:space="preserve"> </w:t>
      </w:r>
      <w:r>
        <w:rPr>
          <w:rStyle w:val="VerbatimChar"/>
        </w:rPr>
        <w:t xml:space="preserve">gap_id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não existe</w:t>
      </w:r>
      <w:r>
        <w:t xml:space="preserve"> </w:t>
      </w:r>
      <w:r>
        <w:t xml:space="preserve">(bloqueador de implementação).</w:t>
      </w:r>
      <w:r>
        <w:br/>
      </w:r>
      <w:r>
        <w:rPr>
          <w:bCs/>
          <w:b/>
        </w:rPr>
        <w:t xml:space="preserve">Regra:</w:t>
      </w:r>
      <w:r>
        <w:t xml:space="preserve"> </w:t>
      </w:r>
      <w:r>
        <w:rPr>
          <w:rStyle w:val="VerbatimChar"/>
        </w:rPr>
        <w:t xml:space="preserve">is_hidden_risk === true</w:t>
      </w:r>
      <w:r>
        <w:t xml:space="preserve"> </w:t>
      </w:r>
      <w:r>
        <w:t xml:space="preserve">→ severidade padrão</w:t>
      </w:r>
      <w:r>
        <w:t xml:space="preserve"> </w:t>
      </w:r>
      <w:r>
        <w:t xml:space="preserve">“</w:t>
      </w:r>
      <w:r>
        <w:t xml:space="preserve">alta</w:t>
      </w:r>
      <w:r>
        <w:t xml:space="preserve">”</w:t>
      </w:r>
      <w:r>
        <w:t xml:space="preserve">, mesmo sem evidência direta.</w:t>
      </w:r>
    </w:p>
    <w:bookmarkEnd w:id="26"/>
    <w:bookmarkStart w:id="27" w:name="nó-5-ação-action"/>
    <w:p>
      <w:pPr>
        <w:pStyle w:val="Heading3"/>
      </w:pPr>
      <w:r>
        <w:t xml:space="preserve">Nó 5 — Ação (Action)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Action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"ACTION-001"</w:t>
      </w:r>
      <w:r>
        <w:br/>
      </w:r>
      <w:r>
        <w:rPr>
          <w:rStyle w:val="NormalTok"/>
        </w:rPr>
        <w:t xml:space="preserve">  risk_id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"RISK-001" — OBRIGATÓRIO</w:t>
      </w:r>
      <w:r>
        <w:br/>
      </w:r>
      <w:r>
        <w:rPr>
          <w:rStyle w:val="NormalTok"/>
        </w:rPr>
        <w:t xml:space="preserve">  gap_id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"GAP-001" — OBRIGATÓRIO</w:t>
      </w:r>
      <w:r>
        <w:br/>
      </w:r>
      <w:r>
        <w:rPr>
          <w:rStyle w:val="NormalTok"/>
        </w:rPr>
        <w:t xml:space="preserve">  requirement_id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"RF-001" — OBRIGATÓRIO</w:t>
      </w:r>
      <w:r>
        <w:br/>
      </w:r>
      <w:r>
        <w:rPr>
          <w:rStyle w:val="NormalTok"/>
        </w:rPr>
        <w:t xml:space="preserve">  template_id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"ACT-TRIB-001" — OBRIGATÓRIO</w:t>
      </w:r>
      <w:r>
        <w:br/>
      </w:r>
      <w:r>
        <w:rPr>
          <w:rStyle w:val="NormalTok"/>
        </w:rPr>
        <w:t xml:space="preserve">  action_description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Texto da ação (preenchido a partir do template)</w:t>
      </w:r>
      <w:r>
        <w:br/>
      </w:r>
      <w:r>
        <w:rPr>
          <w:rStyle w:val="NormalTok"/>
        </w:rPr>
        <w:t xml:space="preserve">  priority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"crítica"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"média"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"baixa"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deadline_days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Prazo em dias (calculado deterministicamente)</w:t>
      </w:r>
      <w:r>
        <w:br/>
      </w:r>
      <w:r>
        <w:rPr>
          <w:rStyle w:val="NormalTok"/>
        </w:rPr>
        <w:t xml:space="preserve">  deadline_date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Data calculada a partir de deadline_days + data_geração</w:t>
      </w:r>
      <w:r>
        <w:br/>
      </w:r>
      <w:r>
        <w:rPr>
          <w:rStyle w:val="NormalTok"/>
        </w:rPr>
        <w:t xml:space="preserve">  responsible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"contador_tributario" | "advogado_tributarista" | ...</w:t>
      </w:r>
      <w:r>
        <w:br/>
      </w:r>
      <w:r>
        <w:rPr>
          <w:rStyle w:val="NormalTok"/>
        </w:rPr>
        <w:t xml:space="preserve">  evidence_required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"DCTF retificadora ou nota de crédito" — OBRIGATÓRIO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"pendente"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"em_andamento"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"concluída"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"cancelada"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Regra:</w:t>
      </w:r>
      <w:r>
        <w:t xml:space="preserve"> </w:t>
      </w:r>
      <w:r>
        <w:t xml:space="preserve">ação sem</w:t>
      </w:r>
      <w:r>
        <w:t xml:space="preserve"> </w:t>
      </w:r>
      <w:r>
        <w:rPr>
          <w:rStyle w:val="VerbatimChar"/>
        </w:rPr>
        <w:t xml:space="preserve">risk_id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não existe</w:t>
      </w:r>
      <w:r>
        <w:t xml:space="preserve"> </w:t>
      </w:r>
      <w:r>
        <w:t xml:space="preserve">(bloqueador de implementação).</w:t>
      </w:r>
      <w:r>
        <w:br/>
      </w:r>
      <w:r>
        <w:rPr>
          <w:bCs/>
          <w:b/>
        </w:rPr>
        <w:t xml:space="preserve">Regra:</w:t>
      </w:r>
      <w:r>
        <w:t xml:space="preserve"> </w:t>
      </w:r>
      <w:r>
        <w:t xml:space="preserve">ação sem</w:t>
      </w:r>
      <w:r>
        <w:t xml:space="preserve"> </w:t>
      </w:r>
      <w:r>
        <w:rPr>
          <w:rStyle w:val="VerbatimChar"/>
        </w:rPr>
        <w:t xml:space="preserve">evidence_required</w:t>
      </w:r>
      <w:r>
        <w:t xml:space="preserve"> </w:t>
      </w:r>
      <w:r>
        <w:t xml:space="preserve">→ incompleta (não pode ser marcada como concluída).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exemplos-concretos-com-requisitos-reais"/>
    <w:p>
      <w:pPr>
        <w:pStyle w:val="Heading2"/>
      </w:pPr>
      <w:r>
        <w:t xml:space="preserve">Exemplos concretos com requisitos reais</w:t>
      </w:r>
    </w:p>
    <w:bookmarkStart w:id="29" w:name="X7c4f6c8637434220d7ed7c033bd3d1fac654aa3"/>
    <w:p>
      <w:pPr>
        <w:pStyle w:val="Heading3"/>
      </w:pPr>
      <w:r>
        <w:t xml:space="preserve">Exemplo 1 — LC 214/2024 Art. 10 (CBS sobre serviços)</w:t>
      </w:r>
    </w:p>
    <w:p>
      <w:pPr>
        <w:pStyle w:val="FirstParagraph"/>
      </w:pPr>
      <w:r>
        <w:rPr>
          <w:bCs/>
          <w:b/>
        </w:rPr>
        <w:t xml:space="preserve">Requisito: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"LC 214/2024 Art. 10 §2º"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"source_law"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"LC 214/2024"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"source_article"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"Art. 10 §2º"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"Empresas prestadoras de serviços sujeitas ao CBS devem apurar o tributo sobre a receita bruta de serviços, excluídas as deduções previstas em lei"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"applicable"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"layer"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"corporativo"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"cnae_scope"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"porte_scope"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"ME"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"EPP"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"Médio"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"regime_scope"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"Lucro Presumido"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"Lucro Real"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Pergunta: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"Q-CORP-001"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"requirement_id"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"question_text"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"Sua empresa apura e recolhe CBS sobre a receita bruta de serviços, aplicando corretamente as deduções previstas na LC 214/2024?"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"LC 214/2024 Art. 10 §2º"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"corporativo"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Gap: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"GAP-001"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"question_id"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"Q-CORP-001"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"requirement_id"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"gap_status"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"nao_atende"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"Empresa declarou que ainda não adaptou o sistema de apuração para a nova alíquota CBS"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"classification_method"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"deterministic"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Risco: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"GAP-001"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"requirement_id"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"taxonomy"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"tributário"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"apuração"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"erro_aliquota_cbs"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"risk_description"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"Apuração incorreta de CBS sobre receita de serviços, com risco de autuação fiscal retroativa"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"score_base"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"ia_adjustment"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"ia_adjustment_justification"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"Empresa em período de transição com prazo legal próximo"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"score_final"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"impact_financial"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"Multa de 75% a 150% do tributo devido + juros SELIC"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"impact_legal"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 de infração + representação fiscal para fins penais se valor &gt; R$2,5M"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"is_hidden_risk"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Ação: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"ACTION-001"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"risk_id"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"GAP-001"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"requirement_id"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"template_id"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"ACT-TRIB-001"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"action_description"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"Revisar e atualizar o sistema de apuração de CBS para operações de prestação de serviços, corrigindo a alíquota e as deduções conforme LC 214/2024 Art. 10 §2º. Emitir DCTF retificadora para os períodos afetados."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"crítica"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"deadline_days"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"contador_tributario"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"DCTF retificadora protocolada + comprovante de recolhimento do tributo complementar"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Start w:id="30" w:name="Xc3ebd20846f691244999075cd7a158dbe8b41b2"/>
    <w:p>
      <w:pPr>
        <w:pStyle w:val="Heading3"/>
      </w:pPr>
      <w:r>
        <w:t xml:space="preserve">Exemplo 2 — EC 132/2023 (Reforma Tributária — IBS)</w:t>
      </w:r>
    </w:p>
    <w:p>
      <w:pPr>
        <w:pStyle w:val="FirstParagraph"/>
      </w:pPr>
      <w:r>
        <w:rPr>
          <w:bCs/>
          <w:b/>
        </w:rPr>
        <w:t xml:space="preserve">Requisito: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"RF-045"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 132/2023 Art. 156-A"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"source_law"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 132/2023"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"source_article"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"Art. 156-A"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"Empresas com operações interestaduais devem apurar o IBS com base na alíquota do estado de destino da operação"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"applicable"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"layer"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"operacional"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"cnae_scope"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"porte_scope"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"ME"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"EPP"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"Médio"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"regime_scope"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"Lucro Presumido"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"Lucro Real"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Pergunta: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"Q-OPER-045"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"requirement_id"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"RF-045"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"question_text"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"Para operações interestaduais, sua empresa já adaptou o sistema de faturamento para aplicar a alíquota do IBS do estado de destino, conforme exigido pela EC 132/2023?"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 132/2023 Art. 156-A"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"operacional"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Gap: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"GAP-045"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"question_id"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"Q-OPER-045"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"requirement_id"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"RF-045"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"gap_status"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"evidencia_insuficiente"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"Empresa declarou 'estamos verificando com o sistema', sem evidência objetiva de adaptação"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"classification_method"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"deterministic"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Risco (oculto — evidência insuficiente):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"RISK-045"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"GAP-045"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"requirement_id"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"RF-045"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"taxonomy"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"tributário"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"apuração"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"ibs_interestadual_sem_evidencia"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"risk_description"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"Risco oculto de apuração incorreta do IBS interestadual. A empresa não apresentou evidência de adaptação do sistema."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"score_base"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"ia_adjustment"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"score_final"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"impact_financial"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"Diferença de alíquota IBS interestadual + multa de 75%"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"impact_legal"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"Autuação fiscal pelo estado de destino"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"is_hidden_risk"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Ação: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"ACTION-045"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"risk_id"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"RISK-045"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"GAP-045"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"requirement_id"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"RF-045"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"template_id"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"ACT-TRIB-IBS-001"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"action_description"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"Solicitar ao departamento de TI ou ao fornecedor do ERP documentação comprobatória de que o sistema de faturamento foi atualizado para aplicar a alíquota do IBS do estado de destino em operações interestaduais, conforme EC 132/2023 Art. 156-A."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"crítica"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"deadline_days"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"contador_tributario"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"Documentação técnica do ERP ou relatório de testes demonstrando a aplicação correta da alíquota IBS por estado de destino"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Xe6cd6436edb3656f11930c016e3b9fbddc83dbc"/>
    <w:p>
      <w:pPr>
        <w:pStyle w:val="Heading3"/>
      </w:pPr>
      <w:r>
        <w:t xml:space="preserve">Exemplo 3 — LC 224/2024 (Benefícios Fiscais — Setor de Varejo)</w:t>
      </w:r>
    </w:p>
    <w:p>
      <w:pPr>
        <w:pStyle w:val="FirstParagraph"/>
      </w:pPr>
      <w:r>
        <w:rPr>
          <w:bCs/>
          <w:b/>
        </w:rPr>
        <w:t xml:space="preserve">Requisito: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"RF-067"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"LC 224/2024 Art. 8º"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"source_law"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"LC 224/2024"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"source_article"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"Art. 8º"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"Empresas do setor varejista (CNAE 47xx) podem solicitar crédito presumido de CBS sobre insumos adquiridos de produtores rurais, desde que comprovem a cadeia de aquisição"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"applicable"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"layer"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"cnae"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"cnae_scope"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"4711-3/01"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"4711-3/02"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"4712-1/00"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"porte_scope"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"EPP"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"Médio"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"regime_scope"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"Lucro Presumido"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"Lucro Real"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Pergunta: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"Q-CNAE-067"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"requirement_id"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"RF-067"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"question_text"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"Sua empresa adquire produtos de produtores rurais para revenda? Se sim, possui documentação comprobatória (notas fiscais de produtor rural) para solicitar o crédito presumido de CBS previsto na LC 224/2024?"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"LC 224/2024 Art. 8º"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"cnae"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"cnae_code"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"4711-3/01"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Gap: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"GAP-067"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"question_id"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"Q-CNAE-067"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"requirement_id"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"RF-067"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"gap_status"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"parcial"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"Empresa adquire de produtores rurais mas não possui toda a documentação organizada para solicitar o crédito"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"classification_method"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"deterministic"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Risco: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"RISK-067"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"GAP-067"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"requirement_id"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"RF-067"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"taxonomy"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"tributário"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"benefícios_fiscais"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"credito_presumido_cbs_nao_aproveitado"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"risk_description"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"Perda de crédito presumido de CBS sobre aquisições de produtores rurais por falta de documentação organizada"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"média"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"score_base"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"ia_adjustment"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"score_final"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"impact_financial"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"Perda estimada de R$X em créditos tributários não aproveitados (calcular com base no volume de compras de produtores rurais)"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"impact_legal"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"Sem risco de autuação — risco de oportunidade perdida"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"is_hidden_risk"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Ação: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"ACTION-067"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"risk_id"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"RISK-067"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"GAP-067"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"requirement_id"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"RF-067"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"template_id"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"ACT-TRIB-CREDITO-001"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"action_description"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"Organizar e arquivar todas as notas fiscais de produtor rural dos últimos 5 anos. Calcular o montante de crédito presumido de CBS não aproveitado. Protocolar pedido de aproveitamento retroativo junto à Receita Federal, conforme LC 224/2024 Art. 8º."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"média"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"deadline_days"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"contador_tributario"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"Planilha de notas fiscais de produtor rural organizadas + protocolo do pedido de aproveitamento de crédito"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regras-de-validação-da-cadeia"/>
    <w:p>
      <w:pPr>
        <w:pStyle w:val="Heading2"/>
      </w:pPr>
      <w:r>
        <w:t xml:space="preserve">Regras de validação da cadeia</w:t>
      </w:r>
    </w:p>
    <w:p>
      <w:pPr>
        <w:pStyle w:val="FirstParagraph"/>
      </w:pPr>
      <w:r>
        <w:t xml:space="preserve">As seguintes validações devem ser executadas pelo sistema antes de gerar os outputs: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810"/>
        <w:gridCol w:w="1788"/>
        <w:gridCol w:w="33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Validação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Bloqueador?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 sem requirement_id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question.requirement_id</w:t>
            </w:r>
            <w:r>
              <w:t xml:space="preserve"> </w:t>
            </w:r>
            <w:r>
              <w:t xml:space="preserve">obrigatório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 sem source_reference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question.source_reference</w:t>
            </w:r>
            <w:r>
              <w:t xml:space="preserve"> </w:t>
            </w:r>
            <w:r>
              <w:t xml:space="preserve">obrigatório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 com score &lt;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Descartar; requisito →</w:t>
            </w:r>
            <w:r>
              <w:t xml:space="preserve"> </w:t>
            </w:r>
            <w:r>
              <w:rPr>
                <w:rStyle w:val="VerbatimChar"/>
              </w:rPr>
              <w:t xml:space="preserve">pending_valid_question</w:t>
            </w:r>
            <w:r>
              <w:t xml:space="preserve">; reformular até 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 após 2 tentativas sem score ≥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→</w:t>
            </w:r>
            <w:r>
              <w:t xml:space="preserve"> </w:t>
            </w:r>
            <w:r>
              <w:rPr>
                <w:rStyle w:val="VerbatimChar"/>
              </w:rPr>
              <w:t xml:space="preserve">no_valid_question_generated</w:t>
            </w:r>
            <w:r>
              <w:t xml:space="preserve">; bloquear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sem question_id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gap.question_id</w:t>
            </w:r>
            <w:r>
              <w:t xml:space="preserve"> </w:t>
            </w:r>
            <w:r>
              <w:t xml:space="preserve">obrigatório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sem requirement_id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gap.requirement_id</w:t>
            </w:r>
            <w:r>
              <w:t xml:space="preserve"> </w:t>
            </w:r>
            <w:r>
              <w:t xml:space="preserve">obrigatório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sem evaluation_confidence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gap.evaluation_confidence</w:t>
            </w:r>
            <w:r>
              <w:t xml:space="preserve"> </w:t>
            </w:r>
            <w:r>
              <w:t xml:space="preserve">obrigatório (ajuste Orquestrador)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 sem gap_id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risk.gap_id</w:t>
            </w:r>
            <w:r>
              <w:t xml:space="preserve"> </w:t>
            </w:r>
            <w:r>
              <w:t xml:space="preserve">obrigatório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 sem impact_financial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risk.impact_financial</w:t>
            </w:r>
            <w:r>
              <w:t xml:space="preserve"> </w:t>
            </w:r>
            <w:r>
              <w:t xml:space="preserve">obrigatório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Ação sem risk_id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action.risk_id</w:t>
            </w:r>
            <w:r>
              <w:t xml:space="preserve"> </w:t>
            </w:r>
            <w:r>
              <w:t xml:space="preserve">obrigatório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Ação sem evidence_required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action.evidence_required</w:t>
            </w:r>
            <w:r>
              <w:t xml:space="preserve"> </w:t>
            </w:r>
            <w:r>
              <w:t xml:space="preserve">obrigatório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 &lt; 100% (fórmula corrigida: 4 critérios)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Bloquear geração do briefing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pending_valid_question_ids.length &gt;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Bloquear gate (sem pergunta válida = sem cobertura)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Conflito crítico de consistência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Bloquear geração do briefing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ia_adjustment fora de [-1.0, +1.0]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Rejeitar ajuste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9" w:name="referências"/>
    <w:p>
      <w:pPr>
        <w:pStyle w:val="Heading2"/>
      </w:pPr>
      <w:r>
        <w:t xml:space="preserve">Referências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ADR-010 — Arquitetura canônica de conteúdo</w:t>
        </w:r>
      </w:hyperlink>
    </w:p>
    <w:p>
      <w:pPr>
        <w:numPr>
          <w:ilvl w:val="0"/>
          <w:numId w:val="1001"/>
        </w:numPr>
        <w:pStyle w:val="Compact"/>
      </w:pPr>
      <w:hyperlink r:id="rId34">
        <w:r>
          <w:rPr>
            <w:rStyle w:val="Hyperlink"/>
          </w:rPr>
          <w:t xml:space="preserve">Matriz Canônica de Inputs/Outputs</w:t>
        </w:r>
      </w:hyperlink>
    </w:p>
    <w:p>
      <w:pPr>
        <w:numPr>
          <w:ilvl w:val="0"/>
          <w:numId w:val="1001"/>
        </w:numPr>
        <w:pStyle w:val="Compact"/>
      </w:pPr>
      <w:hyperlink r:id="rId35">
        <w:r>
          <w:rPr>
            <w:rStyle w:val="Hyperlink"/>
          </w:rPr>
          <w:t xml:space="preserve">Tabela de Melhorias Técnicas HOW v1</w:t>
        </w:r>
      </w:hyperlink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Issue #65</w:t>
        </w:r>
      </w:hyperlink>
    </w:p>
    <w:p>
      <w:pPr>
        <w:numPr>
          <w:ilvl w:val="0"/>
          <w:numId w:val="1001"/>
        </w:numPr>
        <w:pStyle w:val="Compact"/>
      </w:pPr>
      <w:hyperlink r:id="rId36">
        <w:r>
          <w:rPr>
            <w:rStyle w:val="Hyperlink"/>
          </w:rPr>
          <w:t xml:space="preserve">LC 214/2024 — Contribuição sobre Bens e Serviços (CBS)</w:t>
        </w:r>
      </w:hyperlink>
    </w:p>
    <w:p>
      <w:pPr>
        <w:numPr>
          <w:ilvl w:val="0"/>
          <w:numId w:val="1001"/>
        </w:numPr>
        <w:pStyle w:val="Compact"/>
      </w:pPr>
      <w:hyperlink r:id="rId37">
        <w:r>
          <w:rPr>
            <w:rStyle w:val="Hyperlink"/>
          </w:rPr>
          <w:t xml:space="preserve">EC 132/2023 — Reforma Tributária</w:t>
        </w:r>
      </w:hyperlink>
    </w:p>
    <w:p>
      <w:pPr>
        <w:numPr>
          <w:ilvl w:val="0"/>
          <w:numId w:val="1001"/>
        </w:numPr>
        <w:pStyle w:val="Compact"/>
      </w:pPr>
      <w:hyperlink r:id="rId38">
        <w:r>
          <w:rPr>
            <w:rStyle w:val="Hyperlink"/>
          </w:rPr>
          <w:t xml:space="preserve">LC 224/2024 — IBS e benefícios fiscais</w:t>
        </w:r>
      </w:hyperlink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adr/ADR-010-content-architecture-98.md" TargetMode="External" /><Relationship Type="http://schemas.openxmlformats.org/officeDocument/2006/relationships/hyperlink" Id="rId34" Target="MATRIZ-CANONICA-INPUTS-OUTPUTS.md" TargetMode="External" /><Relationship Type="http://schemas.openxmlformats.org/officeDocument/2006/relationships/hyperlink" Id="rId35" Target="TABELA-MELHORIAS-TECNICAS-HOW-v1.md" TargetMode="External" /><Relationship Type="http://schemas.openxmlformats.org/officeDocument/2006/relationships/hyperlink" Id="rId20" Target="https://github.com/Solaris-Empresa/compliance-tributaria-v2/issues/65" TargetMode="External" /><Relationship Type="http://schemas.openxmlformats.org/officeDocument/2006/relationships/hyperlink" Id="rId37" Target="https://www.planalto.gov.br/ccivil_03/constituicao/emendas/emc/emc132.htm" TargetMode="External" /><Relationship Type="http://schemas.openxmlformats.org/officeDocument/2006/relationships/hyperlink" Id="rId36" Target="https://www.planalto.gov.br/ccivil_03/leis/lcp/lcp214.htm" TargetMode="External" /><Relationship Type="http://schemas.openxmlformats.org/officeDocument/2006/relationships/hyperlink" Id="rId38" Target="https://www.planalto.gov.br/ccivil_03/leis/lcp/lcp224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adr/ADR-010-content-architecture-98.md" TargetMode="External" /><Relationship Type="http://schemas.openxmlformats.org/officeDocument/2006/relationships/hyperlink" Id="rId34" Target="MATRIZ-CANONICA-INPUTS-OUTPUTS.md" TargetMode="External" /><Relationship Type="http://schemas.openxmlformats.org/officeDocument/2006/relationships/hyperlink" Id="rId35" Target="TABELA-MELHORIAS-TECNICAS-HOW-v1.md" TargetMode="External" /><Relationship Type="http://schemas.openxmlformats.org/officeDocument/2006/relationships/hyperlink" Id="rId20" Target="https://github.com/Solaris-Empresa/compliance-tributaria-v2/issues/65" TargetMode="External" /><Relationship Type="http://schemas.openxmlformats.org/officeDocument/2006/relationships/hyperlink" Id="rId37" Target="https://www.planalto.gov.br/ccivil_03/constituicao/emendas/emc/emc132.htm" TargetMode="External" /><Relationship Type="http://schemas.openxmlformats.org/officeDocument/2006/relationships/hyperlink" Id="rId36" Target="https://www.planalto.gov.br/ccivil_03/leis/lcp/lcp214.htm" TargetMode="External" /><Relationship Type="http://schemas.openxmlformats.org/officeDocument/2006/relationships/hyperlink" Id="rId38" Target="https://www.planalto.gov.br/ccivil_03/leis/lcp/lcp224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2026-03-24T01:55:06Z</dcterms:created>
  <dcterms:modified xsi:type="dcterms:W3CDTF">2026-03-24T01:55:06Z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