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Xbe2a0208bd4b0d99ee5ac4ca2226183cd8e0c43"/>
    <w:p>
      <w:pPr>
        <w:pStyle w:val="Heading1"/>
      </w:pPr>
      <w:r>
        <w:t xml:space="preserve">Documentação Técnica — IA Generativa e Motor de Diagnóstico</w:t>
      </w:r>
    </w:p>
    <w:bookmarkStart w:id="20" w:name="Xff5cbbebbd84b1ebbb4ebbda7c3b506f2ad9db8"/>
    <w:p>
      <w:pPr>
        <w:pStyle w:val="Heading2"/>
      </w:pPr>
      <w:r>
        <w:t xml:space="preserve">Plataforma IA SOLARIS — Compliance Tributário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de Março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 (versão atual em produção)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 (IA SOLARIS v5.2.0, Sprint V74)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Técnico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</w:tbl>
    <w:p>
      <w:pPr>
        <w:pStyle w:val="BlockText"/>
      </w:pPr>
      <w:r>
        <w:rPr>
          <w:bCs/>
          <w:b/>
        </w:rPr>
        <w:t xml:space="preserve">Histórico de versões:</w:t>
      </w:r>
      <w:r>
        <w:t xml:space="preserve"> </w:t>
      </w:r>
      <w:r>
        <w:t xml:space="preserve">v1.0 (Sprint V60) → v2.0 (Sprint V69) → v3.0 (Sprint V74) → v4.0 (IA SOLARIS v5.2.0) →</w:t>
      </w:r>
      <w:r>
        <w:t xml:space="preserve"> </w:t>
      </w:r>
      <w:r>
        <w:rPr>
          <w:bCs/>
          <w:b/>
        </w:rPr>
        <w:t xml:space="preserve">v5.0 (Sprint v5.3.0, 23/03/2026)</w:t>
      </w:r>
    </w:p>
    <w:p>
      <w:pPr>
        <w:pStyle w:val="BlockText"/>
      </w:pPr>
      <w:r>
        <w:rPr>
          <w:bCs/>
          <w:b/>
        </w:rPr>
        <w:t xml:space="preserve">Mudanças desta versão:</w:t>
      </w:r>
      <w:r>
        <w:t xml:space="preserve"> </w:t>
      </w:r>
      <w:r>
        <w:t xml:space="preserve">Incorporação da arquitetura de diagnóstico dual V1/V3 (ADR-005), Shadow Mode com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, gate de retrocesso com limpeza de dados (ADR-007), suite de validação automatizada Onda 1 + Onda 2 (107/107 ✅), protocolo UAT com advogados, métricas de performance atualizadas, roadmap revisado para Sprint V80+.</w:t>
      </w:r>
    </w:p>
    <w:p>
      <w:r>
        <w:pict>
          <v:rect style="width:0;height:1.5pt" o:hralign="center" o:hrstd="t" o:hr="t"/>
        </w:pict>
      </w:r>
    </w:p>
    <w:bookmarkEnd w:id="20"/>
    <w:bookmarkStart w:id="21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Visão Geral do Motor de IA</w:t>
      </w:r>
    </w:p>
    <w:p>
      <w:pPr>
        <w:numPr>
          <w:ilvl w:val="0"/>
          <w:numId w:val="1001"/>
        </w:numPr>
        <w:pStyle w:val="Compact"/>
      </w:pPr>
      <w:r>
        <w:t xml:space="preserve">Arquitetura do Pipeline de IA</w:t>
      </w:r>
    </w:p>
    <w:p>
      <w:pPr>
        <w:numPr>
          <w:ilvl w:val="0"/>
          <w:numId w:val="1001"/>
        </w:numPr>
        <w:pStyle w:val="Compact"/>
      </w:pPr>
      <w:r>
        <w:t xml:space="preserve">Modelo de Linguagem — GPT-4.1</w:t>
      </w:r>
    </w:p>
    <w:p>
      <w:pPr>
        <w:numPr>
          <w:ilvl w:val="0"/>
          <w:numId w:val="1001"/>
        </w:numPr>
        <w:pStyle w:val="Compact"/>
      </w:pPr>
      <w:r>
        <w:t xml:space="preserve">Etapa 1 — Extração de CNAEs com Embeddings Semânticos</w:t>
      </w:r>
    </w:p>
    <w:p>
      <w:pPr>
        <w:numPr>
          <w:ilvl w:val="0"/>
          <w:numId w:val="1001"/>
        </w:numPr>
        <w:pStyle w:val="Compact"/>
      </w:pPr>
      <w:r>
        <w:t xml:space="preserve">Cache de Embeddings e Busca por Similaridade de Cosseno</w:t>
      </w:r>
    </w:p>
    <w:p>
      <w:pPr>
        <w:numPr>
          <w:ilvl w:val="0"/>
          <w:numId w:val="1001"/>
        </w:numPr>
        <w:pStyle w:val="Compact"/>
      </w:pPr>
      <w:r>
        <w:t xml:space="preserve">RAG Legislativo — Corpus de Artigos Tributários</w:t>
      </w:r>
    </w:p>
    <w:p>
      <w:pPr>
        <w:numPr>
          <w:ilvl w:val="0"/>
          <w:numId w:val="1001"/>
        </w:numPr>
        <w:pStyle w:val="Compact"/>
      </w:pPr>
      <w:r>
        <w:t xml:space="preserve">Etapas 2 a 5 — Geração de Perguntas, Briefing, Riscos e Plano de Ação</w:t>
      </w:r>
    </w:p>
    <w:p>
      <w:pPr>
        <w:numPr>
          <w:ilvl w:val="0"/>
          <w:numId w:val="1001"/>
        </w:numPr>
        <w:pStyle w:val="Compact"/>
      </w:pPr>
      <w:r>
        <w:t xml:space="preserve">Motor de Decisão (Veredito Final)</w:t>
      </w:r>
    </w:p>
    <w:p>
      <w:pPr>
        <w:numPr>
          <w:ilvl w:val="0"/>
          <w:numId w:val="1001"/>
        </w:numPr>
        <w:pStyle w:val="Compact"/>
      </w:pPr>
      <w:r>
        <w:t xml:space="preserve">Scoring Determinístico — Cálculo do Risco Global</w:t>
      </w:r>
    </w:p>
    <w:p>
      <w:pPr>
        <w:numPr>
          <w:ilvl w:val="0"/>
          <w:numId w:val="1001"/>
        </w:numPr>
        <w:pStyle w:val="Compact"/>
      </w:pPr>
      <w:r>
        <w:t xml:space="preserve">Controle de Temperatura e Determinismo</w:t>
      </w:r>
    </w:p>
    <w:p>
      <w:pPr>
        <w:numPr>
          <w:ilvl w:val="0"/>
          <w:numId w:val="1001"/>
        </w:numPr>
        <w:pStyle w:val="Compact"/>
      </w:pPr>
      <w:r>
        <w:t xml:space="preserve">Schemas de Validação Zod — Contratos de Saída da IA</w:t>
      </w:r>
    </w:p>
    <w:p>
      <w:pPr>
        <w:numPr>
          <w:ilvl w:val="0"/>
          <w:numId w:val="1001"/>
        </w:numPr>
        <w:pStyle w:val="Compact"/>
      </w:pPr>
      <w:r>
        <w:t xml:space="preserve">Resiliência — Retry, Timeout e Fallback</w:t>
      </w:r>
    </w:p>
    <w:p>
      <w:pPr>
        <w:numPr>
          <w:ilvl w:val="0"/>
          <w:numId w:val="1001"/>
        </w:numPr>
        <w:pStyle w:val="Compact"/>
      </w:pPr>
      <w:r>
        <w:t xml:space="preserve">Administração de Embeddings — Rebuild Manual e Automático</w:t>
      </w:r>
    </w:p>
    <w:p>
      <w:pPr>
        <w:numPr>
          <w:ilvl w:val="0"/>
          <w:numId w:val="1001"/>
        </w:numPr>
        <w:pStyle w:val="Compact"/>
      </w:pPr>
      <w:r>
        <w:t xml:space="preserve">Cron Job — Rebuild Automático Semanal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Arquitetura de Diagnóstico Dual V1/V3 — ADR-005</w:t>
      </w:r>
      <w:r>
        <w:t xml:space="preserve"> </w:t>
      </w:r>
      <w:r>
        <w:rPr>
          <w:iCs/>
          <w:i/>
        </w:rPr>
        <w:t xml:space="preserve">(novo v5.0)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Shadow Mode — Monitoramento de Divergências</w:t>
      </w:r>
      <w:r>
        <w:t xml:space="preserve"> </w:t>
      </w:r>
      <w:r>
        <w:rPr>
          <w:iCs/>
          <w:i/>
        </w:rPr>
        <w:t xml:space="preserve">(novo v5.0)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Suite de Validação Automatizada — Onda 1 + Onda 2</w:t>
      </w:r>
      <w:r>
        <w:t xml:space="preserve"> </w:t>
      </w:r>
      <w:r>
        <w:rPr>
          <w:iCs/>
          <w:i/>
        </w:rPr>
        <w:t xml:space="preserve">(novo v5.0)</w:t>
      </w:r>
    </w:p>
    <w:p>
      <w:pPr>
        <w:numPr>
          <w:ilvl w:val="0"/>
          <w:numId w:val="1001"/>
        </w:numPr>
        <w:pStyle w:val="Compact"/>
      </w:pPr>
      <w:r>
        <w:t xml:space="preserve">Limitações e Salvaguardas Anti-Alucinação</w:t>
      </w:r>
    </w:p>
    <w:p>
      <w:pPr>
        <w:numPr>
          <w:ilvl w:val="0"/>
          <w:numId w:val="1001"/>
        </w:numPr>
        <w:pStyle w:val="Compact"/>
      </w:pPr>
      <w:r>
        <w:t xml:space="preserve">Métricas de Qualidade e Roadmap</w:t>
      </w:r>
    </w:p>
    <w:p>
      <w:pPr>
        <w:numPr>
          <w:ilvl w:val="0"/>
          <w:numId w:val="1001"/>
        </w:numPr>
        <w:pStyle w:val="Compact"/>
      </w:pPr>
      <w:r>
        <w:t xml:space="preserve">Apêndice A — Arquivos de Código Relevantes</w:t>
      </w:r>
    </w:p>
    <w:p>
      <w:pPr>
        <w:numPr>
          <w:ilvl w:val="0"/>
          <w:numId w:val="1001"/>
        </w:numPr>
        <w:pStyle w:val="Compact"/>
      </w:pPr>
      <w:r>
        <w:t xml:space="preserve">Apêndice B — Variáveis de Ambiente</w:t>
      </w:r>
    </w:p>
    <w:p>
      <w:pPr>
        <w:numPr>
          <w:ilvl w:val="0"/>
          <w:numId w:val="1001"/>
        </w:numPr>
        <w:pStyle w:val="Compact"/>
      </w:pPr>
      <w:r>
        <w:t xml:space="preserve">Apêndice C — Tabelas do Banco de Dados</w:t>
      </w:r>
    </w:p>
    <w:p>
      <w:pPr>
        <w:numPr>
          <w:ilvl w:val="0"/>
          <w:numId w:val="1001"/>
        </w:numPr>
        <w:pStyle w:val="Compact"/>
      </w:pPr>
      <w:r>
        <w:t xml:space="preserve">Apêndice D — ADRs e Decisões Arquiteturais</w:t>
      </w:r>
      <w:r>
        <w:t xml:space="preserve"> </w:t>
      </w:r>
      <w:r>
        <w:rPr>
          <w:iCs/>
          <w:i/>
        </w:rPr>
        <w:t xml:space="preserve">(novo v5.0)</w:t>
      </w:r>
    </w:p>
    <w:p>
      <w:r>
        <w:pict>
          <v:rect style="width:0;height:1.5pt" o:hralign="center" o:hrstd="t" o:hr="t"/>
        </w:pict>
      </w:r>
    </w:p>
    <w:bookmarkEnd w:id="21"/>
    <w:bookmarkStart w:id="23" w:name="visão-geral-do-motor-de-ia"/>
    <w:p>
      <w:pPr>
        <w:pStyle w:val="Heading2"/>
      </w:pPr>
      <w:r>
        <w:t xml:space="preserve">1. Visão Geral do Motor de IA</w:t>
      </w:r>
    </w:p>
    <w:p>
      <w:pPr>
        <w:pStyle w:val="FirstParagraph"/>
      </w:pPr>
      <w:r>
        <w:t xml:space="preserve">A plataforma IA SOLARIS utiliza inteligência artificial generativa em 7 pontos críticos do fluxo de diagnóstico tributário. O motor combina três tecnologias complementares:</w:t>
      </w:r>
      <w:r>
        <w:t xml:space="preserve"> </w:t>
      </w:r>
      <w:r>
        <w:rPr>
          <w:bCs/>
          <w:b/>
        </w:rPr>
        <w:t xml:space="preserve">GPT-4.1</w:t>
      </w:r>
      <w:r>
        <w:t xml:space="preserve"> </w:t>
      </w:r>
      <w:r>
        <w:t xml:space="preserve">(geração de texto e análise),</w:t>
      </w:r>
      <w:r>
        <w:t xml:space="preserve"> </w:t>
      </w:r>
      <w:r>
        <w:rPr>
          <w:bCs/>
          <w:b/>
        </w:rPr>
        <w:t xml:space="preserve">embeddings semânticos OpenAI</w:t>
      </w:r>
      <w:r>
        <w:t xml:space="preserve"> </w:t>
      </w:r>
      <w:r>
        <w:t xml:space="preserve">(busca vetorial de CNAEs) e</w:t>
      </w:r>
      <w:r>
        <w:t xml:space="preserve"> </w:t>
      </w:r>
      <w:r>
        <w:rPr>
          <w:bCs/>
          <w:b/>
        </w:rPr>
        <w:t xml:space="preserve">RAG legislativo</w:t>
      </w:r>
      <w:r>
        <w:t xml:space="preserve"> </w:t>
      </w:r>
      <w:r>
        <w:t xml:space="preserve">(recuperação de artigos tributários reais).</w:t>
      </w:r>
    </w:p>
    <w:p>
      <w:pPr>
        <w:pStyle w:val="BodyText"/>
      </w:pPr>
      <w:r>
        <w:t xml:space="preserve">O design do motor prioriza três propriedades:</w:t>
      </w:r>
      <w:r>
        <w:t xml:space="preserve"> </w:t>
      </w:r>
      <w:r>
        <w:rPr>
          <w:bCs/>
          <w:b/>
        </w:rPr>
        <w:t xml:space="preserve">precisão</w:t>
      </w:r>
      <w:r>
        <w:t xml:space="preserve"> </w:t>
      </w:r>
      <w:r>
        <w:t xml:space="preserve">(citações legais reais, validação Zod, scoring determinístico),</w:t>
      </w:r>
      <w:r>
        <w:t xml:space="preserve"> </w:t>
      </w:r>
      <w:r>
        <w:rPr>
          <w:bCs/>
          <w:b/>
        </w:rPr>
        <w:t xml:space="preserve">resiliência</w:t>
      </w:r>
      <w:r>
        <w:t xml:space="preserve"> </w:t>
      </w:r>
      <w:r>
        <w:t xml:space="preserve">(timeout configurável por procedure, retry automático, fallback semântico) e</w:t>
      </w:r>
      <w:r>
        <w:t xml:space="preserve"> </w:t>
      </w:r>
      <w:r>
        <w:rPr>
          <w:bCs/>
          <w:b/>
        </w:rPr>
        <w:t xml:space="preserve">auditabilidade</w:t>
      </w:r>
      <w:r>
        <w:t xml:space="preserve"> </w:t>
      </w:r>
      <w:r>
        <w:t xml:space="preserve">(scoring reprodutível, log de auditoria, histórico de versões).</w:t>
      </w:r>
    </w:p>
    <w:p>
      <w:pPr>
        <w:pStyle w:val="BodyText"/>
      </w:pPr>
      <w:r>
        <w:t xml:space="preserve">A versão 5.0 introduz uma quarta propriedade:</w:t>
      </w:r>
      <w:r>
        <w:t xml:space="preserve"> </w:t>
      </w:r>
      <w:r>
        <w:rPr>
          <w:bCs/>
          <w:b/>
        </w:rPr>
        <w:t xml:space="preserve">coexistência de motores</w:t>
      </w:r>
      <w:r>
        <w:t xml:space="preserve">. O campo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 </w:t>
      </w:r>
      <w:r>
        <w:t xml:space="preserve">em cada projeto determina qual motor de diagnóstico serve os dados — V1 (legado) ou V3 (novo) — permitindo migração gradual sem impacto nos 2.145 projetos existentes.</w:t>
      </w:r>
    </w:p>
    <w:bookmarkStart w:id="22" w:name="números-chave-da-plataforma-23032026"/>
    <w:p>
      <w:pPr>
        <w:pStyle w:val="Heading3"/>
      </w:pPr>
      <w:r>
        <w:t xml:space="preserve">Números-chave da plataforma (23/03/2026)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CNAEs com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 / 1.332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no 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/ 107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 (0 críticas)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arquitetura-do-pipeline-de-ia"/>
    <w:p>
      <w:pPr>
        <w:pStyle w:val="Heading2"/>
      </w:pPr>
      <w:r>
        <w:t xml:space="preserve">2. Arquitetura do Pipeline de IA</w:t>
      </w:r>
    </w:p>
    <w:p>
      <w:pPr>
        <w:pStyle w:val="FirstParagraph"/>
      </w:pPr>
      <w:r>
        <w:t xml:space="preserve">O pipeline de IA segue um fluxo sequencial de 5 etapas, cada uma com um ponto de integração distinto com o LLM:</w:t>
      </w:r>
    </w:p>
    <w:p>
      <w:pPr>
        <w:pStyle w:val="SourceCode"/>
      </w:pPr>
      <w:r>
        <w:rPr>
          <w:rStyle w:val="VerbatimChar"/>
        </w:rPr>
        <w:t xml:space="preserve">Descrição do Negócio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[ETAPA 1] Extração de CNAEs</w:t>
      </w:r>
      <w:r>
        <w:br/>
      </w:r>
      <w:r>
        <w:rPr>
          <w:rStyle w:val="VerbatimChar"/>
        </w:rPr>
        <w:t xml:space="preserve">  ├─ splitIntoClauses() → cláusulas semânticas</w:t>
      </w:r>
      <w:r>
        <w:br/>
      </w:r>
      <w:r>
        <w:rPr>
          <w:rStyle w:val="VerbatimChar"/>
        </w:rPr>
        <w:t xml:space="preserve">  ├─ OpenAI Embeddings (text-embedding-3-small)</w:t>
      </w:r>
      <w:r>
        <w:br/>
      </w:r>
      <w:r>
        <w:rPr>
          <w:rStyle w:val="VerbatimChar"/>
        </w:rPr>
        <w:t xml:space="preserve">  ├─ Busca por cosseno no cache de 1.332 CNAEs</w:t>
      </w:r>
      <w:r>
        <w:br/>
      </w:r>
      <w:r>
        <w:rPr>
          <w:rStyle w:val="VerbatimChar"/>
        </w:rPr>
        <w:t xml:space="preserve">  ├─ Merge em 2 camadas (garantidos + globais)</w:t>
      </w:r>
      <w:r>
        <w:br/>
      </w:r>
      <w:r>
        <w:rPr>
          <w:rStyle w:val="VerbatimChar"/>
        </w:rPr>
        <w:t xml:space="preserve">  └─ GPT-4.1 → 2–6 CNAEs com confidence e justificativa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[ETAPA 2] Questionário Adaptativo</w:t>
      </w:r>
      <w:r>
        <w:br/>
      </w:r>
      <w:r>
        <w:rPr>
          <w:rStyle w:val="VerbatimChar"/>
        </w:rPr>
        <w:t xml:space="preserve">  ├─ RAG: 5 artigos por CNAE</w:t>
      </w:r>
      <w:r>
        <w:br/>
      </w:r>
      <w:r>
        <w:rPr>
          <w:rStyle w:val="VerbatimChar"/>
        </w:rPr>
        <w:t xml:space="preserve">  └─ GPT-4.1 → Perguntas com metadata diagnóstica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[ETAPA 3] Briefing de Compliance</w:t>
      </w:r>
      <w:r>
        <w:br/>
      </w:r>
      <w:r>
        <w:rPr>
          <w:rStyle w:val="VerbatimChar"/>
        </w:rPr>
        <w:t xml:space="preserve">  ├─ RAG: 7 artigos com re-ranking LLM (T=0.0)</w:t>
      </w:r>
      <w:r>
        <w:br/>
      </w:r>
      <w:r>
        <w:rPr>
          <w:rStyle w:val="VerbatimChar"/>
        </w:rPr>
        <w:t xml:space="preserve">  └─ GPT-4.1 → Briefing estruturado + confidence score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[ETAPA 4] Matrizes de Riscos</w:t>
      </w:r>
      <w:r>
        <w:br/>
      </w:r>
      <w:r>
        <w:rPr>
          <w:rStyle w:val="VerbatimChar"/>
        </w:rPr>
        <w:t xml:space="preserve">  ├─ RAG: 7 artigos por área</w:t>
      </w:r>
      <w:r>
        <w:br/>
      </w:r>
      <w:r>
        <w:rPr>
          <w:rStyle w:val="VerbatimChar"/>
        </w:rPr>
        <w:t xml:space="preserve">  ├─ 4 chamadas paralelas (Promise.all)</w:t>
      </w:r>
      <w:r>
        <w:br/>
      </w:r>
      <w:r>
        <w:rPr>
          <w:rStyle w:val="VerbatimChar"/>
        </w:rPr>
        <w:t xml:space="preserve">  └─ GPT-4.1 → Riscos por área (Contabilidade, Negócio, T.I., Jurídico)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[ETAPA 5] Plano de Ação + Decisão Executiva</w:t>
      </w:r>
      <w:r>
        <w:br/>
      </w:r>
      <w:r>
        <w:rPr>
          <w:rStyle w:val="VerbatimChar"/>
        </w:rPr>
        <w:t xml:space="preserve">  ├─ RAG: 7 artigos por área</w:t>
      </w:r>
      <w:r>
        <w:br/>
      </w:r>
      <w:r>
        <w:rPr>
          <w:rStyle w:val="VerbatimChar"/>
        </w:rPr>
        <w:t xml:space="preserve">  ├─ 4 chamadas paralelas (Promise.all)</w:t>
      </w:r>
      <w:r>
        <w:br/>
      </w:r>
      <w:r>
        <w:rPr>
          <w:rStyle w:val="VerbatimChar"/>
        </w:rPr>
        <w:t xml:space="preserve">  ├─ GPT-4.1 → Tarefas por área</w:t>
      </w:r>
      <w:r>
        <w:br/>
      </w:r>
      <w:r>
        <w:rPr>
          <w:rStyle w:val="VerbatimChar"/>
        </w:rPr>
        <w:t xml:space="preserve">  └─ GPT-4.1 (T=0.35) → Veredito executivo final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scoring determinístico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calculateGlobalScore</w:t>
      </w:r>
      <w:r>
        <w:t xml:space="preserve">) é executado após a Etapa 4, sem envolver o LLM, produzindo um score de risco global auditável e reprodutível.</w:t>
      </w:r>
    </w:p>
    <w:p>
      <w:r>
        <w:pict>
          <v:rect style="width:0;height:1.5pt" o:hralign="center" o:hrstd="t" o:hr="t"/>
        </w:pict>
      </w:r>
    </w:p>
    <w:bookmarkEnd w:id="24"/>
    <w:bookmarkStart w:id="25" w:name="modelo-de-linguagem-gpt-4.1"/>
    <w:p>
      <w:pPr>
        <w:pStyle w:val="Heading2"/>
      </w:pPr>
      <w:r>
        <w:t xml:space="preserve">3. Modelo de Linguagem — GPT-4.1</w:t>
      </w:r>
    </w:p>
    <w:p>
      <w:pPr>
        <w:pStyle w:val="FirstParagraph"/>
      </w:pPr>
      <w:r>
        <w:t xml:space="preserve">A plataforma migrou do modelo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para o</w:t>
      </w:r>
      <w:r>
        <w:t xml:space="preserve"> </w:t>
      </w:r>
      <w:r>
        <w:rPr>
          <w:bCs/>
          <w:b/>
        </w:rPr>
        <w:t xml:space="preserve">GPT-4.1</w:t>
      </w:r>
      <w:r>
        <w:t xml:space="preserve"> </w:t>
      </w:r>
      <w:r>
        <w:t xml:space="preserve">na Sprint v5.1.0. O GPT-4.1 oferece janela de contexto de 1M tokens, melhor seguimento de instruções e maior precisão em tarefas de análise jurídica estruturada.</w:t>
      </w:r>
    </w:p>
    <w:p>
      <w:pPr>
        <w:pStyle w:val="BodyText"/>
      </w:pPr>
      <w:r>
        <w:t xml:space="preserve">Todas as chamadas ao LLM passam pelo helper</w:t>
      </w:r>
      <w:r>
        <w:t xml:space="preserve"> </w:t>
      </w:r>
      <w:r>
        <w:rPr>
          <w:rStyle w:val="VerbatimChar"/>
        </w:rPr>
        <w:t xml:space="preserve">invokeLLM()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server/_core/llm.ts</w:t>
      </w:r>
      <w:r>
        <w:t xml:space="preserve">, que encapsula:</w:t>
      </w:r>
    </w:p>
    <w:p>
      <w:pPr>
        <w:numPr>
          <w:ilvl w:val="0"/>
          <w:numId w:val="1002"/>
        </w:numPr>
        <w:pStyle w:val="Compact"/>
      </w:pPr>
      <w:r>
        <w:t xml:space="preserve">Autenticação via</w:t>
      </w:r>
      <w:r>
        <w:t xml:space="preserve"> </w:t>
      </w:r>
      <w:r>
        <w:rPr>
          <w:rStyle w:val="VerbatimChar"/>
        </w:rPr>
        <w:t xml:space="preserve">OPENAI_API_KEY</w:t>
      </w:r>
    </w:p>
    <w:p>
      <w:pPr>
        <w:numPr>
          <w:ilvl w:val="0"/>
          <w:numId w:val="1002"/>
        </w:numPr>
        <w:pStyle w:val="Compact"/>
      </w:pPr>
      <w:r>
        <w:t xml:space="preserve">Timeout configurável via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(padrão: 180s)</w:t>
      </w:r>
    </w:p>
    <w:p>
      <w:pPr>
        <w:numPr>
          <w:ilvl w:val="0"/>
          <w:numId w:val="1002"/>
        </w:numPr>
        <w:pStyle w:val="Compact"/>
      </w:pPr>
      <w:r>
        <w:t xml:space="preserve">Retry automático via</w:t>
      </w:r>
      <w:r>
        <w:t xml:space="preserve"> </w:t>
      </w:r>
      <w:r>
        <w:rPr>
          <w:rStyle w:val="VerbatimChar"/>
        </w:rPr>
        <w:t xml:space="preserve">generateWithRetry()</w:t>
      </w:r>
      <w:r>
        <w:t xml:space="preserve"> </w:t>
      </w:r>
      <w:r>
        <w:t xml:space="preserve">(padrão: 2 tentativas)</w:t>
      </w:r>
    </w:p>
    <w:p>
      <w:pPr>
        <w:numPr>
          <w:ilvl w:val="0"/>
          <w:numId w:val="1002"/>
        </w:numPr>
        <w:pStyle w:val="Compact"/>
      </w:pPr>
      <w:r>
        <w:t xml:space="preserve">Validação de schema Zod na saída de cada tentativa</w:t>
      </w:r>
    </w:p>
    <w:p>
      <w:pPr>
        <w:numPr>
          <w:ilvl w:val="0"/>
          <w:numId w:val="1002"/>
        </w:numPr>
        <w:pStyle w:val="Compact"/>
      </w:pPr>
      <w:r>
        <w:t xml:space="preserve">Log estruturado de erros com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e preview da descrição</w:t>
      </w:r>
    </w:p>
    <w:p>
      <w:pPr>
        <w:pStyle w:val="FirstParagraph"/>
      </w:pPr>
      <w:r>
        <w:t xml:space="preserve">O modelo é configurado como constante em</w:t>
      </w:r>
      <w:r>
        <w:t xml:space="preserve"> </w:t>
      </w:r>
      <w:r>
        <w:rPr>
          <w:rStyle w:val="VerbatimChar"/>
        </w:rPr>
        <w:t xml:space="preserve">server/_core/llm.ts</w:t>
      </w:r>
      <w:r>
        <w:t xml:space="preserve"> </w:t>
      </w:r>
      <w:r>
        <w:t xml:space="preserve">e não deve ser alterado sem atualizar os schemas Zod, pois diferentes modelos podem produzir formatos de saída distintos.</w:t>
      </w:r>
    </w:p>
    <w:p>
      <w:r>
        <w:pict>
          <v:rect style="width:0;height:1.5pt" o:hralign="center" o:hrstd="t" o:hr="t"/>
        </w:pict>
      </w:r>
    </w:p>
    <w:bookmarkEnd w:id="25"/>
    <w:bookmarkStart w:id="29" w:name="X860ada525c524e6b373716308956c22bc162bc5"/>
    <w:p>
      <w:pPr>
        <w:pStyle w:val="Heading2"/>
      </w:pPr>
      <w:r>
        <w:t xml:space="preserve">4. Etapa 1 — Extração de CNAEs com Embeddings Semânticos</w:t>
      </w:r>
    </w:p>
    <w:bookmarkStart w:id="26" w:name="motivação"/>
    <w:p>
      <w:pPr>
        <w:pStyle w:val="Heading3"/>
      </w:pPr>
      <w:r>
        <w:t xml:space="preserve">Motivação</w:t>
      </w:r>
    </w:p>
    <w:p>
      <w:pPr>
        <w:pStyle w:val="FirstParagraph"/>
      </w:pPr>
      <w:r>
        <w:t xml:space="preserve">A versão 4.0 utilizava um sistema RAG baseado em busca LIKE (tokens hard-coded) para identificar CNAEs relevantes. A precisão era de ~78% em testes com casos reais. A versão 5.0 substitui essa abordagem por</w:t>
      </w:r>
      <w:r>
        <w:t xml:space="preserve"> </w:t>
      </w:r>
      <w:r>
        <w:rPr>
          <w:bCs/>
          <w:b/>
        </w:rPr>
        <w:t xml:space="preserve">busca semântica vetorial</w:t>
      </w:r>
      <w:r>
        <w:t xml:space="preserve"> </w:t>
      </w:r>
      <w:r>
        <w:t xml:space="preserve">com embeddings OpenAI, elevando a precisão para ~97%.</w:t>
      </w:r>
    </w:p>
    <w:p>
      <w:pPr>
        <w:pStyle w:val="BodyText"/>
      </w:pPr>
      <w:r>
        <w:t xml:space="preserve">O problema central da abordagem anterior era a dependência de palavras-chave exatas: uma empresa que</w:t>
      </w:r>
      <w:r>
        <w:t xml:space="preserve"> </w:t>
      </w:r>
      <w:r>
        <w:t xml:space="preserve">“</w:t>
      </w:r>
      <w:r>
        <w:t xml:space="preserve">fabrica cerveja artesanal</w:t>
      </w:r>
      <w:r>
        <w:t xml:space="preserve">”</w:t>
      </w:r>
      <w:r>
        <w:t xml:space="preserve"> </w:t>
      </w:r>
      <w:r>
        <w:t xml:space="preserve">não era associada ao CNAE</w:t>
      </w:r>
      <w:r>
        <w:t xml:space="preserve"> </w:t>
      </w:r>
      <w:r>
        <w:rPr>
          <w:rStyle w:val="VerbatimChar"/>
        </w:rPr>
        <w:t xml:space="preserve">1113-5/02</w:t>
      </w:r>
      <w:r>
        <w:t xml:space="preserve"> </w:t>
      </w:r>
      <w:r>
        <w:t xml:space="preserve">(Fabricação de cervejas e chopes) se a descrição usasse</w:t>
      </w:r>
      <w:r>
        <w:t xml:space="preserve"> </w:t>
      </w:r>
      <w:r>
        <w:t xml:space="preserve">“</w:t>
      </w:r>
      <w:r>
        <w:t xml:space="preserve">produção de bebidas fermentadas</w:t>
      </w:r>
      <w:r>
        <w:t xml:space="preserve">”</w:t>
      </w:r>
      <w:r>
        <w:t xml:space="preserve">. Com embeddings, a similaridade semântica captura essa equivalência.</w:t>
      </w:r>
    </w:p>
    <w:bookmarkEnd w:id="26"/>
    <w:bookmarkStart w:id="27" w:name="pipeline-da-etapa-1"/>
    <w:p>
      <w:pPr>
        <w:pStyle w:val="Heading3"/>
      </w:pPr>
      <w:r>
        <w:t xml:space="preserve">Pipeline da Etapa 1</w:t>
      </w:r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server/routers-fluxo-v3.ts</w:t>
      </w:r>
      <w:r>
        <w:t xml:space="preserve"> </w:t>
      </w:r>
      <w:r>
        <w:t xml:space="preserve">executa o seguinte pipeline:</w:t>
      </w:r>
    </w:p>
    <w:p>
      <w:pPr>
        <w:pStyle w:val="BodyText"/>
      </w:pPr>
      <w:r>
        <w:rPr>
          <w:bCs/>
          <w:b/>
        </w:rPr>
        <w:t xml:space="preserve">Passo 1 — Divisão em Cláusulas Semânticas</w:t>
      </w:r>
    </w:p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splitIntoClauses()</w:t>
      </w:r>
      <w:r>
        <w:t xml:space="preserve"> </w:t>
      </w:r>
      <w:r>
        <w:t xml:space="preserve">divide a descrição do negócio em cláusulas independentes usando delimitadores naturais (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além de</w:t>
      </w:r>
      <w:r>
        <w:t xml:space="preserve">,</w:t>
      </w:r>
      <w:r>
        <w:t xml:space="preserve"> </w:t>
      </w:r>
      <w:r>
        <w:rPr>
          <w:rStyle w:val="VerbatimChar"/>
        </w:rPr>
        <w:t xml:space="preserve">também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  <w:r>
        <w:t xml:space="preserve">). Cada cláusula representa uma atividade distinta. Uma empresa com a descrição</w:t>
      </w:r>
      <w:r>
        <w:t xml:space="preserve"> </w:t>
      </w:r>
      <w:r>
        <w:t xml:space="preserve">“</w:t>
      </w:r>
      <w:r>
        <w:t xml:space="preserve">produção de cerveja artesanal e distribuição para bares</w:t>
      </w:r>
      <w:r>
        <w:t xml:space="preserve">”</w:t>
      </w:r>
      <w:r>
        <w:t xml:space="preserve"> </w:t>
      </w:r>
      <w:r>
        <w:t xml:space="preserve">é dividida em:</w:t>
      </w:r>
      <w:r>
        <w:t xml:space="preserve"> </w:t>
      </w:r>
      <w:r>
        <w:rPr>
          <w:rStyle w:val="VerbatimChar"/>
        </w:rPr>
        <w:t xml:space="preserve">["produção de cerveja artesanal", "distribuição para bares"]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2 — Embedding por Cláusula (Paralelo)</w:t>
      </w:r>
    </w:p>
    <w:p>
      <w:pPr>
        <w:pStyle w:val="BodyText"/>
      </w:pPr>
      <w:r>
        <w:t xml:space="preserve">Para cada cláusula, a função</w:t>
      </w:r>
      <w:r>
        <w:t xml:space="preserve"> </w:t>
      </w:r>
      <w:r>
        <w:rPr>
          <w:rStyle w:val="VerbatimChar"/>
        </w:rPr>
        <w:t xml:space="preserve">getEmbedding()</w:t>
      </w:r>
      <w:r>
        <w:t xml:space="preserve"> </w:t>
      </w:r>
      <w:r>
        <w:t xml:space="preserve">chama a API OpenAI com o modelo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e retorna um vetor de 1.536 dimensões. As chamadas são executadas em paralelo via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para minimizar latência.</w:t>
      </w:r>
    </w:p>
    <w:p>
      <w:pPr>
        <w:pStyle w:val="BodyText"/>
      </w:pPr>
      <w:r>
        <w:rPr>
          <w:bCs/>
          <w:b/>
        </w:rPr>
        <w:t xml:space="preserve">Passo 3 — Busca por Similaridade de Cosseno</w:t>
      </w:r>
    </w:p>
    <w:p>
      <w:pPr>
        <w:pStyle w:val="BodyText"/>
      </w:pPr>
      <w:r>
        <w:t xml:space="preserve">Para cada vetor de cláusula, a função</w:t>
      </w:r>
      <w:r>
        <w:t xml:space="preserve"> </w:t>
      </w:r>
      <w:r>
        <w:rPr>
          <w:rStyle w:val="VerbatimChar"/>
        </w:rPr>
        <w:t xml:space="preserve">searchByCosine()</w:t>
      </w:r>
      <w:r>
        <w:t xml:space="preserve"> </w:t>
      </w:r>
      <w:r>
        <w:t xml:space="preserve">percorre o cache em memória dos 1.332 CNAEs e calcula a similaridade de cosseno com cada vetor CNAE armazenado. O resultado é uma lista de CNAEs ordenados por score (0 a 1).</w:t>
      </w:r>
    </w:p>
    <w:p>
      <w:pPr>
        <w:pStyle w:val="BodyText"/>
      </w:pPr>
      <w:r>
        <w:rPr>
          <w:bCs/>
          <w:b/>
        </w:rPr>
        <w:t xml:space="preserve">Passo 4 — Merge em 2 Camadas</w:t>
      </w:r>
    </w:p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mergeCandidates()</w:t>
      </w:r>
      <w:r>
        <w:t xml:space="preserve"> </w:t>
      </w:r>
      <w:r>
        <w:t xml:space="preserve">combina os resultados de todas as cláusulas em dois passos: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Camada 1 (Garantidos):</w:t>
      </w:r>
      <w:r>
        <w:t xml:space="preserve"> </w:t>
      </w:r>
      <w:r>
        <w:t xml:space="preserve">os top-5 CNAEs de cada cláusula são sempre incluídos no contexto, independente do score global. Isso garante que cada atividade da empresa tenha representação.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Camada 2 (Globais):</w:t>
      </w:r>
      <w:r>
        <w:t xml:space="preserve"> </w:t>
      </w:r>
      <w:r>
        <w:t xml:space="preserve">os CNAEs restantes são ordenados por score global e preenchem o contexto até o limite de 40 candidatos.</w:t>
      </w:r>
    </w:p>
    <w:p>
      <w:pPr>
        <w:pStyle w:val="BodyText"/>
      </w:pPr>
      <w:r>
        <w:rPr>
          <w:bCs/>
          <w:b/>
        </w:rPr>
        <w:t xml:space="preserve">Passo 5 — Formatação e Chamada ao LLM</w:t>
      </w:r>
    </w:p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formatCandidatesForPrompt()</w:t>
      </w:r>
      <w:r>
        <w:t xml:space="preserve"> </w:t>
      </w:r>
      <w:r>
        <w:t xml:space="preserve">formata os 40 candidatos como lista numerada com código, descrição e score de similaridade (%). O GPT-4.1 recebe esse contexto enriquecido e seleciona os 2–6 CNAEs mais relevantes, atribuindo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(0–100) e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 </w:t>
      </w:r>
      <w:r>
        <w:t xml:space="preserve">para cada um.</w:t>
      </w:r>
    </w:p>
    <w:bookmarkEnd w:id="27"/>
    <w:bookmarkStart w:id="28" w:name="timeout-e-fallback-do-extractcnaes"/>
    <w:p>
      <w:pPr>
        <w:pStyle w:val="Heading3"/>
      </w:pPr>
      <w:r>
        <w:t xml:space="preserve">Timeout e Fallback do</w:t>
      </w:r>
      <w:r>
        <w:t xml:space="preserve"> </w:t>
      </w:r>
      <w:r>
        <w:rPr>
          <w:rStyle w:val="VerbatimChar"/>
        </w:rPr>
        <w:t xml:space="preserve">extractCnaes</w:t>
      </w:r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timeoutMs: 25_000</w:t>
      </w:r>
      <w:r>
        <w:t xml:space="preserve"> </w:t>
      </w:r>
      <w:r>
        <w:t xml:space="preserve">(25 segundos) e</w:t>
      </w:r>
      <w:r>
        <w:t xml:space="preserve"> </w:t>
      </w:r>
      <w:r>
        <w:rPr>
          <w:rStyle w:val="VerbatimChar"/>
        </w:rPr>
        <w:t xml:space="preserve">maxRetries: 1</w:t>
      </w:r>
      <w:r>
        <w:t xml:space="preserve">. Se o GPT-4.1 não responder em 25s, o sistema ativa imediatamente o</w:t>
      </w:r>
      <w:r>
        <w:t xml:space="preserve"> </w:t>
      </w:r>
      <w:r>
        <w:rPr>
          <w:bCs/>
          <w:b/>
        </w:rPr>
        <w:t xml:space="preserve">fallback semântico</w:t>
      </w:r>
      <w:r>
        <w:t xml:space="preserve">: retorna os top-5 CNAEs por similaridade de cosseno diretamente do cache, com</w:t>
      </w:r>
      <w:r>
        <w:t xml:space="preserve"> </w:t>
      </w:r>
      <w:r>
        <w:rPr>
          <w:rStyle w:val="VerbatimChar"/>
        </w:rPr>
        <w:t xml:space="preserve">confidence ≤ 70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 </w:t>
      </w:r>
      <w:r>
        <w:t xml:space="preserve">contendo</w:t>
      </w:r>
      <w:r>
        <w:t xml:space="preserve"> </w:t>
      </w:r>
      <w:r>
        <w:t xml:space="preserve">“</w:t>
      </w:r>
      <w:r>
        <w:t xml:space="preserve">similaridade semântica</w:t>
      </w:r>
      <w:r>
        <w:t xml:space="preserve">”</w:t>
      </w:r>
      <w:r>
        <w:t xml:space="preserve">. O frontend detecta esse padrão e exibe um banner amber informativo no modal de CNAEs.</w:t>
      </w:r>
    </w:p>
    <w:p>
      <w:pPr>
        <w:pStyle w:val="SourceCode"/>
      </w:pPr>
      <w:r>
        <w:rPr>
          <w:rStyle w:val="CommentTok"/>
        </w:rPr>
        <w:t xml:space="preserve">// Fallback: usar os top-5 candidatos por similaridade semântica quando a IA falha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fallbackCnaes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cnaeCode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cnaeDescription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justification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`Sugerido por similaridade semântica (score: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cnaes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fallbackCnaes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ca6d21f835b778477d42671d2ba6400c84b97bb"/>
    <w:p>
      <w:pPr>
        <w:pStyle w:val="Heading2"/>
      </w:pPr>
      <w:r>
        <w:t xml:space="preserve">5. Cache de Embeddings e Busca por Similaridade de Cosseno</w:t>
      </w:r>
    </w:p>
    <w:bookmarkStart w:id="30" w:name="estrutura-do-cache"/>
    <w:p>
      <w:pPr>
        <w:pStyle w:val="Heading3"/>
      </w:pPr>
      <w:r>
        <w:t xml:space="preserve">Estrutura do Cache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server/cnae-embeddings.ts</w:t>
      </w:r>
      <w:r>
        <w:t xml:space="preserve"> </w:t>
      </w:r>
      <w:r>
        <w:t xml:space="preserve">mantém um cache em memória dos 1.332 vetores CNAE. O cache é carregado do banco na primeira requisição e mantido por 1 hora (TTL). Após o TTL ou após um rebuild manual, o cache é invalidado e recarregado na próxima requisição.</w:t>
      </w:r>
    </w:p>
    <w:p>
      <w:pPr>
        <w:pStyle w:val="SourceCode"/>
      </w:pPr>
      <w:r>
        <w:rPr>
          <w:rStyle w:val="CommentTok"/>
        </w:rPr>
        <w:t xml:space="preserve">// Estrutura do item no cache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CnaeEmbeddingCache {</w:t>
      </w:r>
      <w:r>
        <w:br/>
      </w:r>
      <w:r>
        <w:rPr>
          <w:rStyle w:val="NormalTok"/>
        </w:rPr>
        <w:t xml:space="preserve">  cnaeCode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Ex: "4632-0/01"</w:t>
      </w:r>
      <w:r>
        <w:br/>
      </w:r>
      <w:r>
        <w:rPr>
          <w:rStyle w:val="NormalTok"/>
        </w:rPr>
        <w:t xml:space="preserve">  cnaeDescription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Descrição oficial IBGE</w:t>
      </w:r>
      <w:r>
        <w:br/>
      </w:r>
      <w:r>
        <w:rPr>
          <w:rStyle w:val="NormalTok"/>
        </w:rPr>
        <w:t xml:space="preserve"> 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Vetor de 1.536 floats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similaridade-de-cosseno"/>
    <w:p>
      <w:pPr>
        <w:pStyle w:val="Heading3"/>
      </w:pPr>
      <w:r>
        <w:t xml:space="preserve">Similaridade de Cosseno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cosineSimilarity(a, b)</w:t>
      </w:r>
      <w:r>
        <w:t xml:space="preserve"> </w:t>
      </w:r>
      <w:r>
        <w:t xml:space="preserve">calcula o produto escalar normalizado entre dois vetores: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(normA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Scores variam de 0 (sem similaridade semântica) a 1 (vetores idênticos). Não há threshold mínimo — todos os 1.332 CNAEs são ranqueados e os top-40 são enviados ao LLM.</w:t>
      </w:r>
    </w:p>
    <w:bookmarkEnd w:id="31"/>
    <w:bookmarkStart w:id="32" w:name="latência"/>
    <w:p>
      <w:pPr>
        <w:pStyle w:val="Heading3"/>
      </w:pPr>
      <w:r>
        <w:t xml:space="preserve">Latência</w:t>
      </w:r>
    </w:p>
    <w:p>
      <w:pPr>
        <w:pStyle w:val="FirstParagraph"/>
      </w:pPr>
      <w:r>
        <w:t xml:space="preserve">A busca por cosseno nos 1.332 CNAEs em memória adiciona ~150ms à latência da Etapa 1. Esse overhead é aceitável dado o ganho de precisão de 78% para 97%.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7eef581b8e94e20d04c220b2f011b78e9c93ef"/>
    <w:p>
      <w:pPr>
        <w:pStyle w:val="Heading2"/>
      </w:pPr>
      <w:r>
        <w:t xml:space="preserve">6. RAG Legislativo — Corpus de Artigos Tributários</w:t>
      </w:r>
    </w:p>
    <w:p>
      <w:pPr>
        <w:pStyle w:val="FirstParagraph"/>
      </w:pPr>
      <w:r>
        <w:t xml:space="preserve">O corpus legislativo contém</w:t>
      </w:r>
      <w:r>
        <w:t xml:space="preserve"> </w:t>
      </w:r>
      <w:r>
        <w:rPr>
          <w:bCs/>
          <w:b/>
        </w:rPr>
        <w:t xml:space="preserve">1.241 documentos reais</w:t>
      </w:r>
      <w:r>
        <w:t xml:space="preserve"> </w:t>
      </w:r>
      <w:r>
        <w:t xml:space="preserve">das seguintes fontes: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132/2023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 Constitucional da Reforma Tributária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 214/2025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Complementar do IBS e CBS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 227/2024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Complementar complementar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 116/2003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do 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 87/1996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Kandir (ICMS)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Resoluções CG-IBS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resoluções do Comitê Gestor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 RFB/CBS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Instruções Normativas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Convênios CONFAZ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convênios estaduais</w:t>
            </w:r>
          </w:p>
        </w:tc>
      </w:tr>
    </w:tbl>
    <w:p>
      <w:pPr>
        <w:pStyle w:val="BodyText"/>
      </w:pPr>
      <w:r>
        <w:t xml:space="preserve">O motor RAG usa dois modos complementares: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retrieveArticlesFast</w:t>
      </w:r>
      <w:r>
        <w:t xml:space="preserve"> </w:t>
      </w:r>
      <w:r>
        <w:t xml:space="preserve">— busca LIKE nos campos</w:t>
      </w:r>
      <w:r>
        <w:t xml:space="preserve"> </w:t>
      </w:r>
      <w:r>
        <w:rPr>
          <w:rStyle w:val="VerbatimChar"/>
        </w:rPr>
        <w:t xml:space="preserve">topicos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cnaeGroups</w:t>
      </w:r>
      <w:r>
        <w:t xml:space="preserve"> </w:t>
      </w:r>
      <w:r>
        <w:t xml:space="preserve">da tabela</w:t>
      </w:r>
      <w:r>
        <w:t xml:space="preserve"> </w:t>
      </w:r>
      <w:r>
        <w:rPr>
          <w:rStyle w:val="VerbatimChar"/>
        </w:rPr>
        <w:t xml:space="preserve">ragDocuments</w:t>
      </w:r>
      <w:r>
        <w:t xml:space="preserve">. Sem re-ranking. Usado quando latência é prioritária (Etapas 2 e 5).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retrieveArticles</w:t>
      </w:r>
      <w:r>
        <w:t xml:space="preserve"> </w:t>
      </w:r>
      <w:r>
        <w:t xml:space="preserve">— busca LIKE seguida de re-ranking por LLM (temperatura 0.0). Usado quando precisão é prioritária (Etapas 3 e 4). O re-ranking determinístico garante que os artigos mais relevantes para o contexto específico do projeto sejam selecionados.</w:t>
      </w:r>
    </w:p>
    <w:p>
      <w:pPr>
        <w:pStyle w:val="FirstParagraph"/>
      </w:pPr>
      <w:r>
        <w:t xml:space="preserve">A precisão de citação estimada com RAG é de ~95%. Sem RAG, o LLM cita artigos com ~60% de precisão.</w:t>
      </w:r>
    </w:p>
    <w:p>
      <w:r>
        <w:pict>
          <v:rect style="width:0;height:1.5pt" o:hralign="center" o:hrstd="t" o:hr="t"/>
        </w:pict>
      </w:r>
    </w:p>
    <w:bookmarkEnd w:id="34"/>
    <w:bookmarkStart w:id="35" w:name="X4a15ae8ffda290866df043f8c3ad8e2278fc1f9"/>
    <w:p>
      <w:pPr>
        <w:pStyle w:val="Heading2"/>
      </w:pPr>
      <w:r>
        <w:t xml:space="preserve">7. Etapas 2 a 5 — Geração de Perguntas, Briefing, Riscos e Plano de Ação</w:t>
      </w:r>
    </w:p>
    <w:p>
      <w:pPr>
        <w:pStyle w:val="FirstParagraph"/>
      </w:pPr>
      <w:r>
        <w:t xml:space="preserve">Todas as etapas 2 a 5 seguem o mesmo padrão arquitetural:</w:t>
      </w:r>
    </w:p>
    <w:p>
      <w:pPr>
        <w:numPr>
          <w:ilvl w:val="0"/>
          <w:numId w:val="1004"/>
        </w:numPr>
        <w:pStyle w:val="Compact"/>
      </w:pPr>
      <w:r>
        <w:t xml:space="preserve">Recuperar artigos legislativos relevantes via RAG (5–7 artigos por chamada)</w:t>
      </w:r>
    </w:p>
    <w:p>
      <w:pPr>
        <w:numPr>
          <w:ilvl w:val="0"/>
          <w:numId w:val="1004"/>
        </w:numPr>
        <w:pStyle w:val="Compact"/>
      </w:pPr>
      <w:r>
        <w:t xml:space="preserve">Construir um prompt com contexto legal + respostas anteriores + Contrato de Saída</w:t>
      </w:r>
    </w:p>
    <w:p>
      <w:pPr>
        <w:numPr>
          <w:ilvl w:val="0"/>
          <w:numId w:val="1004"/>
        </w:numPr>
        <w:pStyle w:val="Compact"/>
      </w:pPr>
      <w:r>
        <w:t xml:space="preserve">Chamar o GPT-4.1 via</w:t>
      </w:r>
      <w:r>
        <w:t xml:space="preserve"> </w:t>
      </w:r>
      <w:r>
        <w:rPr>
          <w:rStyle w:val="VerbatimChar"/>
        </w:rPr>
        <w:t xml:space="preserve">generateWithRetry()</w:t>
      </w:r>
      <w:r>
        <w:t xml:space="preserve"> </w:t>
      </w:r>
      <w:r>
        <w:t xml:space="preserve">com validação de schema Zod na saída</w:t>
      </w:r>
    </w:p>
    <w:p>
      <w:pPr>
        <w:numPr>
          <w:ilvl w:val="0"/>
          <w:numId w:val="1004"/>
        </w:numPr>
        <w:pStyle w:val="Compact"/>
      </w:pPr>
      <w:r>
        <w:t xml:space="preserve">Persistir o resultado no banco via Drizzle ORM</w:t>
      </w:r>
    </w:p>
    <w:p>
      <w:pPr>
        <w:pStyle w:val="FirstParagraph"/>
      </w:pPr>
      <w:r>
        <w:rPr>
          <w:bCs/>
          <w:b/>
        </w:rPr>
        <w:t xml:space="preserve">Etapa 2 — Geração de Perguntas:</w:t>
      </w:r>
      <w:r>
        <w:t xml:space="preserve"> </w:t>
      </w:r>
      <w:r>
        <w:t xml:space="preserve">A IA gera até 10 perguntas por CNAE com metadata diagnóstica completa (</w:t>
      </w:r>
      <w:r>
        <w:rPr>
          <w:rStyle w:val="VerbatimChar"/>
        </w:rPr>
        <w:t xml:space="preserve">objetivo_diagnostico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impacto_reforma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peso_risco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). O RAG injeta 5 artigos relevantes para o CNAE específico. Temperatura: 0.3 (alguma variação para perguntas diversas).</w:t>
      </w:r>
    </w:p>
    <w:p>
      <w:pPr>
        <w:pStyle w:val="BodyText"/>
      </w:pPr>
      <w:r>
        <w:rPr>
          <w:bCs/>
          <w:b/>
        </w:rPr>
        <w:t xml:space="preserve">Etapa 3 — Briefing de Compliance:</w:t>
      </w:r>
      <w:r>
        <w:t xml:space="preserve"> </w:t>
      </w:r>
      <w:r>
        <w:t xml:space="preserve">A IA consolida todas as respostas do questionário em um briefing estruturado com</w:t>
      </w:r>
      <w:r>
        <w:t xml:space="preserve"> </w:t>
      </w:r>
      <w:r>
        <w:rPr>
          <w:rStyle w:val="VerbatimChar"/>
        </w:rPr>
        <w:t xml:space="preserve">nivel_risco_geral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resumo_executivo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principais_gaps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oportunidades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recomendacoes_prioritarias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. O RAG injeta 7 artigos com re-ranking LLM (temperatura 0.0). Temperatura do briefing: 0.2.</w:t>
      </w:r>
    </w:p>
    <w:p>
      <w:pPr>
        <w:pStyle w:val="BodyText"/>
      </w:pPr>
      <w:r>
        <w:rPr>
          <w:bCs/>
          <w:b/>
        </w:rPr>
        <w:t xml:space="preserve">Etapa 4 — Matrizes de Riscos:</w:t>
      </w:r>
      <w:r>
        <w:t xml:space="preserve"> </w:t>
      </w:r>
      <w:r>
        <w:t xml:space="preserve">A IA gera riscos por área (Contabilidade, Negócio, T.I., Jurídico) em 4 chamadas paralelas via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. Cada risco tem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causa_raiz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evidencia_regulatoria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probabilidade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impacto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severidade_score</w:t>
      </w:r>
      <w:r>
        <w:t xml:space="preserve"> </w:t>
      </w:r>
      <w:r>
        <w:t xml:space="preserve">(1–9) e</w:t>
      </w:r>
      <w:r>
        <w:t xml:space="preserve"> </w:t>
      </w:r>
      <w:r>
        <w:rPr>
          <w:rStyle w:val="VerbatimChar"/>
        </w:rPr>
        <w:t xml:space="preserve">plano_acao</w:t>
      </w:r>
      <w:r>
        <w:t xml:space="preserve">. Temperatura: 0.1 (alta precisão para identificação de riscos). Tempo total: ~35s (vs. ~3min sequencial).</w:t>
      </w:r>
    </w:p>
    <w:p>
      <w:pPr>
        <w:pStyle w:val="BodyText"/>
      </w:pPr>
      <w:r>
        <w:rPr>
          <w:bCs/>
          <w:b/>
        </w:rPr>
        <w:t xml:space="preserve">Etapa 5 — Plano de Ação:</w:t>
      </w:r>
      <w:r>
        <w:t xml:space="preserve"> </w:t>
      </w:r>
      <w:r>
        <w:t xml:space="preserve">A IA gera tarefas por área em 4 chamadas paralelas. Cada tarefa tem</w:t>
      </w:r>
      <w:r>
        <w:t xml:space="preserve"> </w:t>
      </w:r>
      <w:r>
        <w:rPr>
          <w:rStyle w:val="VerbatimChar"/>
        </w:rPr>
        <w:t xml:space="preserve">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prazo_sugerido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responsavel_sugerido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objetivo_diagnostico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evidencia_regulatoria</w:t>
      </w:r>
      <w:r>
        <w:t xml:space="preserve">. Temperatura: 0.2.</w:t>
      </w:r>
    </w:p>
    <w:p>
      <w:r>
        <w:pict>
          <v:rect style="width:0;height:1.5pt" o:hralign="center" o:hrstd="t" o:hr="t"/>
        </w:pict>
      </w:r>
    </w:p>
    <w:bookmarkEnd w:id="35"/>
    <w:bookmarkStart w:id="36" w:name="motor-de-decisão-veredito-final"/>
    <w:p>
      <w:pPr>
        <w:pStyle w:val="Heading2"/>
      </w:pPr>
      <w:r>
        <w:t xml:space="preserve">8. Motor de Decisão (Veredito Final)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generateDecision</w:t>
      </w:r>
      <w:r>
        <w:t xml:space="preserve"> </w:t>
      </w:r>
      <w:r>
        <w:t xml:space="preserve">produz o veredito executivo do diagnóstico após a aprovação do Plano de Ação. É o único ponto onde o LLM produz uma</w:t>
      </w:r>
      <w:r>
        <w:t xml:space="preserve"> </w:t>
      </w:r>
      <w:r>
        <w:rPr>
          <w:bCs/>
          <w:b/>
        </w:rPr>
        <w:t xml:space="preserve">recomendação direta de ação</w:t>
      </w:r>
      <w:r>
        <w:t xml:space="preserve"> </w:t>
      </w:r>
      <w:r>
        <w:t xml:space="preserve">— todas as outras saídas são análises e identificações.</w:t>
      </w:r>
    </w:p>
    <w:p>
      <w:pPr>
        <w:pStyle w:val="BodyText"/>
      </w:pPr>
      <w:r>
        <w:t xml:space="preserve">O veredito contém: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acao_principal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ação mais urgente que a empresa deve tomar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prazo_dias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recomendado em dias para a ação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risco_se_nao_fazer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Consequência estimada de não agir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critica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proximos_passos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3–5 ações concretas e sequenciais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momento_wow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diferenciado que surpreende 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fundamentacao_legal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Artigos legais que fundamentam a recomendação</w:t>
            </w:r>
          </w:p>
        </w:tc>
      </w:tr>
    </w:tbl>
    <w:p>
      <w:pPr>
        <w:pStyle w:val="BodyText"/>
      </w:pPr>
      <w:r>
        <w:t xml:space="preserve">Temperatura: 0.35 (leve variação para linguagem mais natural e personalizada). O RAG injeta 7 artigos com re-ranking para garantir fundamentação legal precisa.</w:t>
      </w:r>
    </w:p>
    <w:p>
      <w:r>
        <w:pict>
          <v:rect style="width:0;height:1.5pt" o:hralign="center" o:hrstd="t" o:hr="t"/>
        </w:pict>
      </w:r>
    </w:p>
    <w:bookmarkEnd w:id="36"/>
    <w:bookmarkStart w:id="37" w:name="X2cf0f42f8c418fafc27f2bc9f9e86dd69d91c46"/>
    <w:p>
      <w:pPr>
        <w:pStyle w:val="Heading2"/>
      </w:pPr>
      <w:r>
        <w:t xml:space="preserve">9. Scoring Determinístico — Cálculo do Risco Global</w:t>
      </w:r>
    </w:p>
    <w:p>
      <w:pPr>
        <w:pStyle w:val="FirstParagraph"/>
      </w:pPr>
      <w:r>
        <w:t xml:space="preserve">O score de risco global é calculado</w:t>
      </w:r>
      <w:r>
        <w:t xml:space="preserve"> </w:t>
      </w:r>
      <w:r>
        <w:rPr>
          <w:bCs/>
          <w:b/>
        </w:rPr>
        <w:t xml:space="preserve">sem LLM</w:t>
      </w:r>
      <w:r>
        <w:t xml:space="preserve"> </w:t>
      </w:r>
      <w:r>
        <w:t xml:space="preserve">pela função</w:t>
      </w:r>
      <w:r>
        <w:t xml:space="preserve"> </w:t>
      </w:r>
      <w:r>
        <w:rPr>
          <w:rStyle w:val="VerbatimChar"/>
        </w:rPr>
        <w:t xml:space="preserve">calculateGlobalScore()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server/ai-helpers.ts</w:t>
      </w:r>
      <w:r>
        <w:t xml:space="preserve">. Por ser determinístico, o score é auditável e reprodutível — dois projetos com as mesmas respostas sempre produzem o mesmo score.</w:t>
      </w:r>
    </w:p>
    <w:p>
      <w:pPr>
        <w:pStyle w:val="BodyText"/>
      </w:pPr>
      <w:r>
        <w:t xml:space="preserve">O cálculo usa: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Pesos por área de risco:</w:t>
      </w:r>
      <w:r>
        <w:t xml:space="preserve"> </w:t>
      </w:r>
      <w:r>
        <w:t xml:space="preserve">Contabilidade (30%), Jurídico (30%), Negócio (25%), T.I. (15%)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Severidade dos riscos:</w:t>
      </w:r>
      <w:r>
        <w:t xml:space="preserve"> </w:t>
      </w:r>
      <w:r>
        <w:t xml:space="preserve">Crítica=9, Alta=6, Média=3, Baixa=1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Probabilidade:</w:t>
      </w:r>
      <w:r>
        <w:t xml:space="preserve"> </w:t>
      </w:r>
      <w:r>
        <w:t xml:space="preserve">Alta=3, Média=2, Baixa=1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Score por risco:</w:t>
      </w:r>
      <w:r>
        <w:t xml:space="preserve"> </w:t>
      </w:r>
      <w:r>
        <w:rPr>
          <w:rStyle w:val="VerbatimChar"/>
        </w:rPr>
        <w:t xml:space="preserve">severidade_score × probabilidade_score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Score global:</w:t>
      </w:r>
      <w:r>
        <w:t xml:space="preserve"> </w:t>
      </w:r>
      <w:r>
        <w:t xml:space="preserve">média ponderada por área, normalizada para 0–100</w:t>
      </w:r>
    </w:p>
    <w:p>
      <w:pPr>
        <w:pStyle w:val="FirstParagraph"/>
      </w:pPr>
      <w:r>
        <w:t xml:space="preserve">O resultado inclui: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(0–100)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(baixo/médio/alto/crítico)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impacto_estimado</w:t>
      </w:r>
      <w:r>
        <w:t xml:space="preserve"> </w:t>
      </w:r>
      <w:r>
        <w:t xml:space="preserve">(tradução financeira em R$, baseada em faixas percentuais do faturamento)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custo_inacao</w:t>
      </w:r>
      <w:r>
        <w:t xml:space="preserve"> </w:t>
      </w:r>
      <w:r>
        <w:t xml:space="preserve">(custo estimado de não agir nos próximos 12 meses)</w:t>
      </w:r>
    </w:p>
    <w:p>
      <w:r>
        <w:pict>
          <v:rect style="width:0;height:1.5pt" o:hralign="center" o:hrstd="t" o:hr="t"/>
        </w:pict>
      </w:r>
    </w:p>
    <w:bookmarkEnd w:id="37"/>
    <w:bookmarkStart w:id="38" w:name="controle-de-temperatura-e-determinismo"/>
    <w:p>
      <w:pPr>
        <w:pStyle w:val="Heading2"/>
      </w:pPr>
      <w:r>
        <w:t xml:space="preserve">10. Controle de Temperatura e Determinismo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Identificação de CNAEs (</w:t>
            </w:r>
            <w:r>
              <w:rPr>
                <w:rStyle w:val="VerbatimChar"/>
              </w:rPr>
              <w:t xml:space="preserve">extractCnaes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precisão, mínima criatividade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Refinamento de CNAEs (</w:t>
            </w:r>
            <w:r>
              <w:rPr>
                <w:rStyle w:val="VerbatimChar"/>
              </w:rPr>
              <w:t xml:space="preserve">refineCnaes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 variação para explorar alternativas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de perguntas (</w:t>
            </w:r>
            <w:r>
              <w:rPr>
                <w:rStyle w:val="VerbatimChar"/>
              </w:rPr>
              <w:t xml:space="preserve">generateQuestions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Alguma variação para perguntas diversas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Briefing (</w:t>
            </w:r>
            <w:r>
              <w:rPr>
                <w:rStyle w:val="VerbatimChar"/>
              </w:rPr>
              <w:t xml:space="preserve">generateBriefing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Consistência com leve fluidez textual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Matrizes de riscos (</w:t>
            </w:r>
            <w:r>
              <w:rPr>
                <w:rStyle w:val="VerbatimChar"/>
              </w:rPr>
              <w:t xml:space="preserve">generateRiskMatrices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precisão para identificação de riscos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Re-ranking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Determinístico absoluto para seleção de artigos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de decisão (</w:t>
            </w:r>
            <w:r>
              <w:rPr>
                <w:rStyle w:val="VerbatimChar"/>
              </w:rPr>
              <w:t xml:space="preserve">generateDecision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Consistência com leve variação de linguagem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Determinístico — sem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465e92b6c121bfc344d493f2995927a74fec89b"/>
    <w:p>
      <w:pPr>
        <w:pStyle w:val="Heading2"/>
      </w:pPr>
      <w:r>
        <w:t xml:space="preserve">11. Schemas de Validação Zod — Contratos de Saída da IA</w:t>
      </w:r>
    </w:p>
    <w:p>
      <w:pPr>
        <w:pStyle w:val="FirstParagraph"/>
      </w:pPr>
      <w:r>
        <w:t xml:space="preserve">Todas as saídas do LLM são validadas por schemas Zod definidos em</w:t>
      </w:r>
      <w:r>
        <w:t xml:space="preserve"> </w:t>
      </w:r>
      <w:r>
        <w:rPr>
          <w:rStyle w:val="VerbatimChar"/>
        </w:rPr>
        <w:t xml:space="preserve">server/ai-schemas.ts</w:t>
      </w:r>
      <w:r>
        <w:t xml:space="preserve">. Se o LLM retornar um JSON malformado ou com campos ausentes, o schema rejeita a resposta e o</w:t>
      </w:r>
      <w:r>
        <w:t xml:space="preserve"> </w:t>
      </w:r>
      <w:r>
        <w:rPr>
          <w:rStyle w:val="VerbatimChar"/>
        </w:rPr>
        <w:t xml:space="preserve">generateWithRetry()</w:t>
      </w:r>
      <w:r>
        <w:t xml:space="preserve"> </w:t>
      </w:r>
      <w:r>
        <w:t xml:space="preserve">tenta novamente (até 2 vezes). Isso garante que o frontend nunca receba dados parciais ou corrompidos.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Obrigatórios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CnaesResponseSchema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extractCnaes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refineCnaes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cnaes[].code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cnaes[].description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cnaes[].confidence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cnaes[].justification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QuestionsResponseSchema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questions[].id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questions[].text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questions[].type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questions[].cnaeCode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BriefingResponseSchema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generateBriefing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risk_areas[]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RiskMatrixResponseSchema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generateRiskMatrices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risks[].area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risks[].severity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risks[].probability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risks[].financial_impact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ActionPlanResponseSchema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generateActionPlan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tasks[].title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tasks[].priority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tasks[].deadline_days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tasks[].legal_basis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DecisaoResponseSchema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acao_principal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prazo_dias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risco_se_nao_fazer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proximos_passos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momento_wow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fundamentacao_legal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7" w:name="resiliência-retry-timeout-e-fallback"/>
    <w:p>
      <w:pPr>
        <w:pStyle w:val="Heading2"/>
      </w:pPr>
      <w:r>
        <w:t xml:space="preserve">12. Resiliência — Retry, Timeout e Fallback</w:t>
      </w:r>
    </w:p>
    <w:bookmarkStart w:id="40" w:name="timeout-com-abortcontroller"/>
    <w:p>
      <w:pPr>
        <w:pStyle w:val="Heading3"/>
      </w:pPr>
      <w:r>
        <w:t xml:space="preserve">Timeout com AbortController</w:t>
      </w:r>
    </w:p>
    <w:p>
      <w:pPr>
        <w:pStyle w:val="FirstParagraph"/>
      </w:pPr>
      <w:r>
        <w:t xml:space="preserve">Todas as chamadas ao LLM têm timeout configurado via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no módulo</w:t>
      </w:r>
      <w:r>
        <w:t xml:space="preserve"> </w:t>
      </w:r>
      <w:r>
        <w:rPr>
          <w:rStyle w:val="VerbatimChar"/>
        </w:rPr>
        <w:t xml:space="preserve">server/_core/llm.ts</w:t>
      </w:r>
      <w:r>
        <w:t xml:space="preserve">. O timeout padrão é de</w:t>
      </w:r>
      <w:r>
        <w:t xml:space="preserve"> </w:t>
      </w:r>
      <w:r>
        <w:rPr>
          <w:bCs/>
          <w:b/>
        </w:rPr>
        <w:t xml:space="preserve">180 segundos</w:t>
      </w:r>
      <w:r>
        <w:t xml:space="preserve"> </w:t>
      </w:r>
      <w:r>
        <w:t xml:space="preserve">para operações longas. A procedure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usa timeout reduzido de</w:t>
      </w:r>
      <w:r>
        <w:t xml:space="preserve"> </w:t>
      </w:r>
      <w:r>
        <w:rPr>
          <w:bCs/>
          <w:b/>
        </w:rPr>
        <w:t xml:space="preserve">25 segundos</w:t>
      </w:r>
      <w:r>
        <w:t xml:space="preserve"> </w:t>
      </w:r>
      <w:r>
        <w:t xml:space="preserve">para garantir resposta rápida ao usuário.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extractCnaes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25.000ms (25s)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responde em &lt;5s normalmente; acima disso o fallback semântico garante sugestões imediatas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180.000ms (padrão)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longas (briefing, matrizes) precisam de mais tempo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Por que 25s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extractCnaes</w:t>
      </w:r>
      <w:r>
        <w:rPr>
          <w:bCs/>
          <w:b/>
        </w:rPr>
        <w:t xml:space="preserve">?</w:t>
      </w:r>
      <w:r>
        <w:t xml:space="preserve"> </w:t>
      </w:r>
      <w:r>
        <w:t xml:space="preserve">A identificação de CNAEs é o primeiro passo do fluxo e bloqueia o usuário na tela de criação de projeto. Se o GPT-4.1 demorar mais de 25s (raro, mas possível em picos de carga da API OpenAI), o sistema ativa imediatamente o fallback semântico — que retorna os top-5 CNAEs por similaridade de cosseno sem chamar o LLM. O usuário vê sugestões em vez de spinner infinito.</w:t>
      </w:r>
    </w:p>
    <w:bookmarkEnd w:id="40"/>
    <w:bookmarkStart w:id="41" w:name="retry-no-generatewithretry"/>
    <w:p>
      <w:pPr>
        <w:pStyle w:val="Heading3"/>
      </w:pPr>
      <w:r>
        <w:t xml:space="preserve">Retry no</w:t>
      </w:r>
      <w:r>
        <w:t xml:space="preserve"> </w:t>
      </w:r>
      <w:r>
        <w:rPr>
          <w:rStyle w:val="VerbatimChar"/>
        </w:rPr>
        <w:t xml:space="preserve">generateWithRetry()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generateWithRetry()</w:t>
      </w:r>
      <w:r>
        <w:t xml:space="preserve"> </w:t>
      </w:r>
      <w:r>
        <w:t xml:space="preserve">implementa retry automático com validação Zod em cada tentativa. Para o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maxRetries: 1</w:t>
      </w:r>
      <w:r>
        <w:t xml:space="preserve"> </w:t>
      </w:r>
      <w:r>
        <w:t xml:space="preserve">significa uma única tentativa — se falhar, o fallback semântico entra imediatamente sem delay adicional.</w:t>
      </w:r>
    </w:p>
    <w:bookmarkEnd w:id="41"/>
    <w:bookmarkStart w:id="42" w:name="fallback-semântico-do-extractcnaes"/>
    <w:p>
      <w:pPr>
        <w:pStyle w:val="Heading3"/>
      </w:pPr>
      <w:r>
        <w:t xml:space="preserve">Fallback Semântico do</w:t>
      </w:r>
      <w:r>
        <w:t xml:space="preserve"> </w:t>
      </w:r>
      <w:r>
        <w:rPr>
          <w:rStyle w:val="VerbatimChar"/>
        </w:rPr>
        <w:t xml:space="preserve">extractCnaes</w:t>
      </w:r>
    </w:p>
    <w:p>
      <w:pPr>
        <w:pStyle w:val="FirstParagraph"/>
      </w:pPr>
      <w:r>
        <w:t xml:space="preserve">Se o LLM falhar (timeout, erro de API, JSON malformado), o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não retorna erro para o usuário. Em vez disso, retorna os</w:t>
      </w:r>
      <w:r>
        <w:t xml:space="preserve"> </w:t>
      </w:r>
      <w:r>
        <w:rPr>
          <w:bCs/>
          <w:b/>
        </w:rPr>
        <w:t xml:space="preserve">top-5 CNAEs por similaridade de cosseno</w:t>
      </w:r>
      <w:r>
        <w:t xml:space="preserve"> </w:t>
      </w:r>
      <w:r>
        <w:t xml:space="preserve">diretamente do cache de embeddings, com</w:t>
      </w:r>
      <w:r>
        <w:t xml:space="preserve"> </w:t>
      </w:r>
      <w:r>
        <w:rPr>
          <w:rStyle w:val="VerbatimChar"/>
        </w:rPr>
        <w:t xml:space="preserve">confidence ≤ 70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 </w:t>
      </w:r>
      <w:r>
        <w:t xml:space="preserve">contendo</w:t>
      </w:r>
      <w:r>
        <w:t xml:space="preserve"> </w:t>
      </w:r>
      <w:r>
        <w:t xml:space="preserve">“</w:t>
      </w:r>
      <w:r>
        <w:t xml:space="preserve">similaridade semântica</w:t>
      </w:r>
      <w:r>
        <w:t xml:space="preserve">”</w:t>
      </w:r>
      <w:r>
        <w:t xml:space="preserve">. O frontend detecta esse padrão e exibe um banner amber informativo no modal de CNAEs.</w:t>
      </w:r>
    </w:p>
    <w:bookmarkEnd w:id="42"/>
    <w:bookmarkStart w:id="43" w:name="detecção-de-fallback-no-frontend"/>
    <w:p>
      <w:pPr>
        <w:pStyle w:val="Heading3"/>
      </w:pPr>
      <w:r>
        <w:t xml:space="preserve">Detecção de Fallback no Frontend</w:t>
      </w:r>
    </w:p>
    <w:p>
      <w:pPr>
        <w:pStyle w:val="FirstParagraph"/>
      </w:pPr>
      <w:r>
        <w:t xml:space="preserve">O componente</w:t>
      </w:r>
      <w:r>
        <w:t xml:space="preserve"> </w:t>
      </w:r>
      <w:r>
        <w:rPr>
          <w:rStyle w:val="VerbatimChar"/>
        </w:rPr>
        <w:t xml:space="preserve">NovoProjeto.tsx</w:t>
      </w:r>
      <w:r>
        <w:t xml:space="preserve"> </w:t>
      </w:r>
      <w:r>
        <w:t xml:space="preserve">detecta automaticamente quando os CNAEs vêm do fallback semântico:</w:t>
      </w:r>
    </w:p>
    <w:p>
      <w:pPr>
        <w:pStyle w:val="SourceCode"/>
      </w:pPr>
      <w:r>
        <w:rPr>
          <w:rStyle w:val="CommentTok"/>
        </w:rPr>
        <w:t xml:space="preserve">// Detecta fallback semântico: todos os CNAEs com confidence ≤70 e justificativa padrão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cnaes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cnaes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Cnae)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cnaes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Cnae)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justification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"similaridade semântica"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setIsCnaeFallback</w:t>
      </w:r>
      <w:r>
        <w:rPr>
          <w:rStyle w:val="NormalTok"/>
        </w:rPr>
        <w:t xml:space="preserve">(fallback)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isCnaeFallback === true</w:t>
      </w:r>
      <w:r>
        <w:t xml:space="preserve">, o modal exibe: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Cs/>
          <w:i/>
        </w:rPr>
        <w:t xml:space="preserve">A IA demorou mais que o esperado e usou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busca semântica</w:t>
      </w:r>
      <w:r>
        <w:rPr>
          <w:iCs/>
          <w:i/>
        </w:rPr>
        <w:t xml:space="preserve"> </w:t>
      </w:r>
      <w:r>
        <w:rPr>
          <w:iCs/>
          <w:i/>
        </w:rPr>
        <w:t xml:space="preserve">como alternativa. Revise as sugestões com atenção ou clique em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Pedir nova análise</w:t>
      </w:r>
      <w:r>
        <w:rPr>
          <w:iCs/>
          <w:i/>
        </w:rPr>
        <w:t xml:space="preserve"> </w:t>
      </w:r>
      <w:r>
        <w:rPr>
          <w:iCs/>
          <w:i/>
        </w:rPr>
        <w:t xml:space="preserve">para tentar novamente.</w:t>
      </w:r>
    </w:p>
    <w:bookmarkEnd w:id="43"/>
    <w:bookmarkStart w:id="44" w:name="monitoramento-de-erros-llm"/>
    <w:p>
      <w:pPr>
        <w:pStyle w:val="Heading3"/>
      </w:pPr>
      <w:r>
        <w:t xml:space="preserve">Monitoramento de Erros LLM</w:t>
      </w:r>
    </w:p>
    <w:p>
      <w:pPr>
        <w:pStyle w:val="FirstParagraph"/>
      </w:pPr>
      <w:r>
        <w:t xml:space="preserve">Quando o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falha (antes de ativar o fallback), o servidor registra um log estruturado e envia notificação ao owner via</w:t>
      </w:r>
      <w:r>
        <w:t xml:space="preserve"> </w:t>
      </w:r>
      <w:r>
        <w:rPr>
          <w:rStyle w:val="VerbatimChar"/>
        </w:rPr>
        <w:t xml:space="preserve">notifyOwner()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[extractCnaes][TIMEOUT] projectId=240002 | descPreview="produção de cerveja stout..." | erro=Request timed out after 25000ms</w:t>
      </w:r>
      <w:r>
        <w:br/>
      </w:r>
      <w:r>
        <w:rPr>
          <w:rStyle w:val="VerbatimChar"/>
        </w:rPr>
        <w:t xml:space="preserve">[extractCnaes][ERROR] projectId=240003 | descPreview="..." | erro=OpenAI API error 429</w:t>
      </w:r>
    </w:p>
    <w:p>
      <w:pPr>
        <w:pStyle w:val="FirstParagraph"/>
      </w:pPr>
      <w:r>
        <w:t xml:space="preserve">O título da notificação diferencia TIMEOUT de ERROR para facilitar o diagnóstico: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⏱️ extractCnaes — Timeout (&gt;25s) — fallback ativado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⚠️ extractCnaes falhou — fallback ativado</w:t>
      </w:r>
    </w:p>
    <w:bookmarkEnd w:id="44"/>
    <w:bookmarkStart w:id="45" w:name="fallback-silencioso-do-rag"/>
    <w:p>
      <w:pPr>
        <w:pStyle w:val="Heading3"/>
      </w:pPr>
      <w:r>
        <w:t xml:space="preserve">Fallback Silencioso do RAG</w:t>
      </w:r>
    </w:p>
    <w:p>
      <w:pPr>
        <w:pStyle w:val="FirstParagraph"/>
      </w:pPr>
      <w:r>
        <w:t xml:space="preserve">Se o banco de dados estiver indisponível ou o cache de embeddings vazio, o sistema falha silenciosamente e o prompt é enviado sem contexto RAG, com a instrução</w:t>
      </w:r>
      <w:r>
        <w:t xml:space="preserve"> </w:t>
      </w:r>
      <w:r>
        <w:rPr>
          <w:rStyle w:val="VerbatimChar"/>
        </w:rPr>
        <w:t xml:space="preserve">"(base de embeddings não disponível — use a lista completa CNAE 2.3)"</w:t>
      </w:r>
      <w:r>
        <w:t xml:space="preserve">. O LLM ainda tenta identificar CNAEs sem o contexto semântico.</w:t>
      </w:r>
    </w:p>
    <w:bookmarkEnd w:id="45"/>
    <w:bookmarkStart w:id="46" w:name="extração-robusta-de-json"/>
    <w:p>
      <w:pPr>
        <w:pStyle w:val="Heading3"/>
      </w:pPr>
      <w:r>
        <w:t xml:space="preserve">Extração Robusta de JSON</w:t>
      </w:r>
    </w:p>
    <w:p>
      <w:pPr>
        <w:pStyle w:val="FirstParagraph"/>
      </w:pPr>
      <w:r>
        <w:t xml:space="preserve">O GPT-4.1 pode retornar respostas com texto adicional fora do JSON. A função</w:t>
      </w:r>
      <w:r>
        <w:t xml:space="preserve"> </w:t>
      </w:r>
      <w:r>
        <w:rPr>
          <w:rStyle w:val="VerbatimChar"/>
        </w:rPr>
        <w:t xml:space="preserve">extractJsonFromLLMResponse()</w:t>
      </w:r>
      <w:r>
        <w:t xml:space="preserve"> </w:t>
      </w:r>
      <w:r>
        <w:t xml:space="preserve">lida com todos os formatos: remove blocos de markdown, extrai o maior bloco JSON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 </w:t>
      </w:r>
      <w:r>
        <w:t xml:space="preserve">na string, e retorna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nenhum JSON válido for encontrado.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8204e95fccbaf28b744f984f74936a216a452e3"/>
    <w:p>
      <w:pPr>
        <w:pStyle w:val="Heading2"/>
      </w:pPr>
      <w:r>
        <w:t xml:space="preserve">13. Administração de Embeddings — Rebuild Manual e Automático</w:t>
      </w:r>
    </w:p>
    <w:bookmarkStart w:id="48" w:name="X4156201fba96d79f201ac296f6fc8e5e4dab8d0"/>
    <w:p>
      <w:pPr>
        <w:pStyle w:val="Heading3"/>
      </w:pPr>
      <w:r>
        <w:t xml:space="preserve">Por que é Necessário Reconstruir os Embeddings?</w:t>
      </w:r>
    </w:p>
    <w:p>
      <w:pPr>
        <w:pStyle w:val="FirstParagraph"/>
      </w:pPr>
      <w:r>
        <w:t xml:space="preserve">Os embeddings são gerados uma vez e armazenados no banco. Eles precisam ser reconstruídos quando: o IBGE atualiza o CNAE 2.3 (novos códigos ou descrições alteradas), a OpenAI lança um modelo de embeddings melhor, o banco de dados é migrado, ou a cobertura cai abaixo de 95%.</w:t>
      </w:r>
    </w:p>
    <w:bookmarkEnd w:id="48"/>
    <w:bookmarkStart w:id="49" w:name="endpoint-de-administração"/>
    <w:p>
      <w:pPr>
        <w:pStyle w:val="Heading3"/>
      </w:pPr>
      <w:r>
        <w:t xml:space="preserve">Endpoint de Administração</w:t>
      </w:r>
    </w:p>
    <w:p>
      <w:pPr>
        <w:pStyle w:val="FirstParagraph"/>
      </w:pPr>
      <w:r>
        <w:t xml:space="preserve">O router</w:t>
      </w:r>
      <w:r>
        <w:t xml:space="preserve"> </w:t>
      </w:r>
      <w:r>
        <w:rPr>
          <w:rStyle w:val="VerbatimChar"/>
        </w:rPr>
        <w:t xml:space="preserve">adminEmbeddingsRouter</w:t>
      </w:r>
      <w:r>
        <w:t xml:space="preserve"> </w:t>
      </w:r>
      <w:r>
        <w:t xml:space="preserve">expõe 4 procedures tRPC, todas restritas ao papel</w:t>
      </w:r>
      <w:r>
        <w:t xml:space="preserve"> </w:t>
      </w:r>
      <w:r>
        <w:rPr>
          <w:rStyle w:val="VerbatimChar"/>
        </w:rPr>
        <w:t xml:space="preserve">equipe_solaris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admin.embeddings.getStatus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 banco (cobertura, última atualização, rebuild em andamento)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admin.embeddings.rebuild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 rebuild completo em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admin.embeddings.invalidateCache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 o cache em memória (força recarga do banco)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admin.embeddings.getHistory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das últimas 20 execuções (manual + cron)</w:t>
            </w:r>
          </w:p>
        </w:tc>
      </w:tr>
    </w:tbl>
    <w:bookmarkEnd w:id="49"/>
    <w:bookmarkStart w:id="50" w:name="progresso-em-tempo-real-via-websocket"/>
    <w:p>
      <w:pPr>
        <w:pStyle w:val="Heading3"/>
      </w:pPr>
      <w:r>
        <w:t xml:space="preserve">Progresso em Tempo Real via WebSocket</w:t>
      </w:r>
    </w:p>
    <w:p>
      <w:pPr>
        <w:pStyle w:val="FirstParagraph"/>
      </w:pPr>
      <w:r>
        <w:t xml:space="preserve">O rebuild é executado</w:t>
      </w:r>
      <w:r>
        <w:t xml:space="preserve"> </w:t>
      </w:r>
      <w:r>
        <w:rPr>
          <w:bCs/>
          <w:b/>
        </w:rPr>
        <w:t xml:space="preserve">em background</w:t>
      </w:r>
      <w:r>
        <w:t xml:space="preserve"> </w:t>
      </w:r>
      <w:r>
        <w:t xml:space="preserve">(não bloqueia a requisição HTTP). O progresso é emitido via WebSocket usando eventos específicos: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embeddings:rebuild:started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total, batchSize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do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embeddings:rebuild:progress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processed, total, batch, percent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cada batch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embeddings:rebuild:batchError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batch, error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em um batch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embeddings:rebuild:completed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processed, total, errors, durationSeconds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embeddings:rebuild:error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fatal (API key ausente, banco indisponível)</w:t>
            </w:r>
          </w:p>
        </w:tc>
      </w:tr>
    </w:tbl>
    <w:bookmarkEnd w:id="50"/>
    <w:bookmarkStart w:id="51" w:name="parâmetros-do-rebuild"/>
    <w:p>
      <w:pPr>
        <w:pStyle w:val="Heading3"/>
      </w:pPr>
      <w:r>
        <w:t xml:space="preserve">Parâmetros do Rebuild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text-embedding-3-small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OpenAI de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CNAEs por requisição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permitido pela API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1.332 CNAEs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Pausa entre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rate limiting da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rebuild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Estratégia de 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(INSERT … ON DUPLICATE KEY 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 sem deletar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cron-job-rebuild-automático-semanal"/>
    <w:p>
      <w:pPr>
        <w:pStyle w:val="Heading2"/>
      </w:pPr>
      <w:r>
        <w:t xml:space="preserve">14. Cron Job — Rebuild Automático Semanal</w:t>
      </w:r>
    </w:p>
    <w:bookmarkStart w:id="53" w:name="configuração"/>
    <w:p>
      <w:pPr>
        <w:pStyle w:val="Heading3"/>
      </w:pPr>
      <w:r>
        <w:t xml:space="preserve">Configuração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embeddings-scheduler.ts</w:t>
      </w:r>
      <w:r>
        <w:t xml:space="preserve"> </w:t>
      </w:r>
      <w:r>
        <w:t xml:space="preserve">agenda um rebuild automático toda</w:t>
      </w:r>
      <w:r>
        <w:t xml:space="preserve"> </w:t>
      </w:r>
      <w:r>
        <w:rPr>
          <w:bCs/>
          <w:b/>
        </w:rPr>
        <w:t xml:space="preserve">segunda-feira às 03:00 (horário de Brasília, America/São_Paulo)</w:t>
      </w:r>
      <w:r>
        <w:t xml:space="preserve">. A expressão cron</w:t>
      </w:r>
      <w:r>
        <w:t xml:space="preserve"> </w:t>
      </w:r>
      <w:r>
        <w:rPr>
          <w:rStyle w:val="VerbatimChar"/>
        </w:rPr>
        <w:t xml:space="preserve">0 3 * * 1</w:t>
      </w:r>
      <w:r>
        <w:t xml:space="preserve"> </w:t>
      </w:r>
      <w:r>
        <w:t xml:space="preserve">significa: minuto 0, hora 3, qualquer dia do mês, qualquer mês, segunda-feira (1).</w:t>
      </w:r>
    </w:p>
    <w:bookmarkEnd w:id="53"/>
    <w:bookmarkStart w:id="54" w:name="alertas-granulares"/>
    <w:p>
      <w:pPr>
        <w:pStyle w:val="Heading3"/>
      </w:pPr>
      <w:r>
        <w:t xml:space="preserve">Alertas Granulares</w:t>
      </w:r>
    </w:p>
    <w:p>
      <w:pPr>
        <w:pStyle w:val="FirstParagraph"/>
      </w:pPr>
      <w:r>
        <w:t xml:space="preserve">O scheduler envia alertas detalhados via</w:t>
      </w:r>
      <w:r>
        <w:t xml:space="preserve"> </w:t>
      </w:r>
      <w:r>
        <w:rPr>
          <w:rStyle w:val="VerbatimChar"/>
        </w:rPr>
        <w:t xml:space="preserve">notifyOwner()</w:t>
      </w:r>
      <w:r>
        <w:t xml:space="preserve"> </w:t>
      </w:r>
      <w:r>
        <w:t xml:space="preserve">para diferentes cenários de falha: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concluído com sucesso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Rebuild Embeddings CNAE —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ausente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Rebuild Embeddings CNAE — API Key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secret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401/403 da OpenAI (chave expirada/inválida)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🔑 Rebuild Embeddings CNAE — Chave Expirada/Inválida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Renovar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no painel de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 indisponível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Rebuild Embeddings CNAE — Banco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parcial &gt;10% dos batches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 Rebuild Embeddings CNAE — Falha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logs; considerar rebuild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geral (outros erros)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Rebuild Embeddings CNAE —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logs do servidor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Por que o alerta de chave expirada é crítico?</w:t>
      </w:r>
      <w:r>
        <w:t xml:space="preserve"> </w:t>
      </w:r>
      <w:r>
        <w:t xml:space="preserve">Se a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expirar, os embeddings ficam desatualizados silenciosamente até a próxima execução bem-sucedida. Com o alerta imediato de HTTP 401/403, o owner é notificado na mesma segunda-feira às 03h, podendo renovar a chave antes do pico de uso semanal.</w:t>
      </w:r>
    </w:p>
    <w:bookmarkEnd w:id="54"/>
    <w:bookmarkStart w:id="55" w:name="ciclo-de-vida-de-uma-execução-agendada"/>
    <w:p>
      <w:pPr>
        <w:pStyle w:val="Heading3"/>
      </w:pPr>
      <w:r>
        <w:t xml:space="preserve">Ciclo de Vida de uma Execução Agendada</w:t>
      </w:r>
    </w:p>
    <w:p>
      <w:pPr>
        <w:pStyle w:val="FirstParagraph"/>
      </w:pPr>
      <w:r>
        <w:t xml:space="preserve">A execução segue o fluxo: verificar se não há rebuild em andamento → criar registro em</w:t>
      </w:r>
      <w:r>
        <w:t xml:space="preserve"> </w:t>
      </w:r>
      <w:r>
        <w:rPr>
          <w:rStyle w:val="VerbatimChar"/>
        </w:rPr>
        <w:t xml:space="preserve">embeddingRebuildLogs</w:t>
      </w:r>
      <w:r>
        <w:t xml:space="preserve"> </w:t>
      </w:r>
      <w:r>
        <w:t xml:space="preserve">(status: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) → processar 14 batches × 95 CNAEs via OpenAI API (~3 min) → atualizar log a cada 5 batches → invalidar cache em memória → atualizar registro final → enviar</w:t>
      </w:r>
      <w:r>
        <w:t xml:space="preserve"> </w:t>
      </w:r>
      <w:r>
        <w:rPr>
          <w:rStyle w:val="VerbatimChar"/>
        </w:rPr>
        <w:t xml:space="preserve">notifyOwner()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959141203b10c85820224faa1c6c1858424e785"/>
    <w:p>
      <w:pPr>
        <w:pStyle w:val="Heading2"/>
      </w:pPr>
      <w:r>
        <w:t xml:space="preserve">15. Arquitetura de Diagnóstico Dual V1/V3 — ADR-005</w:t>
      </w:r>
      <w:r>
        <w:t xml:space="preserve"> </w:t>
      </w:r>
      <w:r>
        <w:rPr>
          <w:iCs/>
          <w:i/>
        </w:rPr>
        <w:t xml:space="preserve">(novo v5.0)</w:t>
      </w:r>
    </w:p>
    <w:bookmarkStart w:id="57" w:name="contexto-e-motivação"/>
    <w:p>
      <w:pPr>
        <w:pStyle w:val="Heading3"/>
      </w:pPr>
      <w:r>
        <w:t xml:space="preserve">Contexto e Motivação</w:t>
      </w:r>
    </w:p>
    <w:p>
      <w:pPr>
        <w:pStyle w:val="FirstParagraph"/>
      </w:pPr>
      <w:r>
        <w:t xml:space="preserve">A plataforma mantém dois motores de diagnóstico coexistentes para garantir compatibilidade retroativa com os 2.145 projetos existentes. O campo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determina qual motor serve cada projeto: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para projetos legados,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para projetos novos.</w:t>
      </w:r>
    </w:p>
    <w:p>
      <w:pPr>
        <w:pStyle w:val="BodyText"/>
      </w:pPr>
      <w:r>
        <w:t xml:space="preserve">Antes da implementação do ADR-005 (Sprint v5.2.0), existiam</w:t>
      </w:r>
      <w:r>
        <w:t xml:space="preserve"> </w:t>
      </w:r>
      <w:r>
        <w:rPr>
          <w:bCs/>
          <w:b/>
        </w:rPr>
        <w:t xml:space="preserve">121 pontos de leitura direta</w:t>
      </w:r>
      <w:r>
        <w:t xml:space="preserve"> </w:t>
      </w:r>
      <w:r>
        <w:t xml:space="preserve">do diagnóstico espalhados pelo código, cada um com sua própria lógica de seleção de fonte. Isso tornava a migração V1→V3 arriscada e difícil de auditar.</w:t>
      </w:r>
    </w:p>
    <w:bookmarkEnd w:id="57"/>
    <w:bookmarkStart w:id="58" w:name="adaptador-getdiagnosticsource"/>
    <w:p>
      <w:pPr>
        <w:pStyle w:val="Heading3"/>
      </w:pPr>
      <w:r>
        <w:t xml:space="preserve">Adaptador</w:t>
      </w:r>
      <w:r>
        <w:t xml:space="preserve"> </w:t>
      </w:r>
      <w:r>
        <w:rPr>
          <w:rStyle w:val="VerbatimChar"/>
        </w:rPr>
        <w:t xml:space="preserve">getDiagnosticSource()</w:t>
      </w:r>
    </w:p>
    <w:p>
      <w:pPr>
        <w:pStyle w:val="FirstParagraph"/>
      </w:pPr>
      <w:r>
        <w:t xml:space="preserve">O adaptador centraliza todas as leituras do diagnóstico em um único ponto:</w:t>
      </w:r>
    </w:p>
    <w:p>
      <w:pPr>
        <w:pStyle w:val="SourceCode"/>
      </w:pPr>
      <w:r>
        <w:rPr>
          <w:rStyle w:val="CommentTok"/>
        </w:rPr>
        <w:t xml:space="preserve">// server/diagnostic-source.ts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getDiagnosticSource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DiagnosticData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getProjectById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readFromV3Tables</w:t>
      </w:r>
      <w:r>
        <w:rPr>
          <w:rStyle w:val="NormalTok"/>
        </w:rPr>
        <w:t xml:space="preserve">(project)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readFromV1Tables</w:t>
      </w:r>
      <w:r>
        <w:rPr>
          <w:rStyle w:val="NormalTok"/>
        </w:rPr>
        <w:t xml:space="preserve">(project)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 adaptador retorna um objeto</w:t>
      </w:r>
      <w:r>
        <w:t xml:space="preserve"> </w:t>
      </w:r>
      <w:r>
        <w:rPr>
          <w:rStyle w:val="VerbatimChar"/>
        </w:rPr>
        <w:t xml:space="preserve">DiagnosticData</w:t>
      </w:r>
      <w:r>
        <w:t xml:space="preserve"> </w:t>
      </w:r>
      <w:r>
        <w:t xml:space="preserve">com campos normalizados que funcionam para ambos os fluxos, abstraindo as diferenças de schema entre V1 e V3.</w:t>
      </w:r>
    </w:p>
    <w:bookmarkEnd w:id="58"/>
    <w:bookmarkStart w:id="59" w:name="fases-de-implementação"/>
    <w:p>
      <w:pPr>
        <w:pStyle w:val="Heading3"/>
      </w:pPr>
      <w:r>
        <w:t xml:space="preserve">Fases de Implementação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do</w:t>
            </w:r>
            <w:r>
              <w:t xml:space="preserve"> </w:t>
            </w:r>
            <w:r>
              <w:rPr>
                <w:rStyle w:val="VerbatimChar"/>
              </w:rPr>
              <w:t xml:space="preserve">diagnostic-source.ts</w:t>
            </w:r>
            <w:r>
              <w:t xml:space="preserve"> </w:t>
            </w:r>
            <w:r>
              <w:t xml:space="preserve">+ 75 testes unitários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do</w:t>
            </w:r>
            <w:r>
              <w:t xml:space="preserve"> </w:t>
            </w:r>
            <w:r>
              <w:rPr>
                <w:rStyle w:val="VerbatimChar"/>
              </w:rPr>
              <w:t xml:space="preserve">routers-fluxo-v3.ts</w:t>
            </w:r>
            <w:r>
              <w:t xml:space="preserve"> </w:t>
            </w:r>
            <w:r>
              <w:t xml:space="preserve">(4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do</w:t>
            </w:r>
            <w:r>
              <w:t xml:space="preserve"> </w:t>
            </w:r>
            <w:r>
              <w:rPr>
                <w:rStyle w:val="VerbatimChar"/>
              </w:rPr>
              <w:t xml:space="preserve">routers.ts</w:t>
            </w:r>
            <w:r>
              <w:t xml:space="preserve"> </w:t>
            </w:r>
            <w:r>
              <w:t xml:space="preserve">(3 endpoints 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do</w:t>
            </w:r>
            <w:r>
              <w:t xml:space="preserve"> </w:t>
            </w:r>
            <w:r>
              <w:rPr>
                <w:rStyle w:val="VerbatimChar"/>
              </w:rPr>
              <w:t xml:space="preserve">flowStateMachine.ts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flowRouter.ts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do</w:t>
            </w:r>
            <w:r>
              <w:t xml:space="preserve"> </w:t>
            </w:r>
            <w:r>
              <w:rPr>
                <w:rStyle w:val="VerbatimChar"/>
              </w:rPr>
              <w:t xml:space="preserve">routers/diagnostic.ts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limpeza no retrocesso (</w:t>
            </w:r>
            <w:r>
              <w:rPr>
                <w:rStyle w:val="VerbatimChar"/>
              </w:rPr>
              <w:t xml:space="preserve">retrocesso-cleanup.ts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de schema (ADR-008)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X92cf16580d985ec335d58e8271ef439dda72e5e"/>
    <w:p>
      <w:pPr>
        <w:pStyle w:val="Heading3"/>
      </w:pPr>
      <w:r>
        <w:t xml:space="preserve">Gate de Limpeza no Retrocesso (F-03/ADR-007)</w:t>
      </w:r>
    </w:p>
    <w:p>
      <w:pPr>
        <w:pStyle w:val="FirstParagraph"/>
      </w:pPr>
      <w:r>
        <w:t xml:space="preserve">Ao retroceder da Etapa N para N-1, o sistema executa</w:t>
      </w:r>
      <w:r>
        <w:t xml:space="preserve"> </w:t>
      </w:r>
      <w:r>
        <w:rPr>
          <w:rStyle w:val="VerbatimChar"/>
        </w:rPr>
        <w:t xml:space="preserve">cleanupOnRetrocesso()</w:t>
      </w:r>
      <w:r>
        <w:t xml:space="preserve"> </w:t>
      </w:r>
      <w:r>
        <w:t xml:space="preserve">que:</w:t>
      </w:r>
    </w:p>
    <w:p>
      <w:pPr>
        <w:numPr>
          <w:ilvl w:val="0"/>
          <w:numId w:val="1006"/>
        </w:numPr>
        <w:pStyle w:val="Compact"/>
      </w:pPr>
      <w:r>
        <w:t xml:space="preserve">Identifica quais dados foram gerados pela IA na Etapa N (briefing, matrizes ou plano)</w:t>
      </w:r>
    </w:p>
    <w:p>
      <w:pPr>
        <w:numPr>
          <w:ilvl w:val="0"/>
          <w:numId w:val="1006"/>
        </w:numPr>
        <w:pStyle w:val="Compact"/>
      </w:pPr>
      <w:r>
        <w:t xml:space="preserve">Remove esses dados do banco (não apenas marca como inativo — remove fisicamente)</w:t>
      </w:r>
    </w:p>
    <w:p>
      <w:pPr>
        <w:numPr>
          <w:ilvl w:val="0"/>
          <w:numId w:val="1006"/>
        </w:numPr>
        <w:pStyle w:val="Compact"/>
      </w:pPr>
      <w:r>
        <w:t xml:space="preserve">Registra a operação em</w:t>
      </w:r>
      <w:r>
        <w:t xml:space="preserve"> </w:t>
      </w:r>
      <w:r>
        <w:rPr>
          <w:rStyle w:val="VerbatimChar"/>
        </w:rPr>
        <w:t xml:space="preserve">projectAuditLog</w:t>
      </w:r>
      <w:r>
        <w:t xml:space="preserve"> </w:t>
      </w:r>
      <w:r>
        <w:t xml:space="preserve">com: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toStep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cleanedData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</w:p>
    <w:p>
      <w:pPr>
        <w:numPr>
          <w:ilvl w:val="0"/>
          <w:numId w:val="1006"/>
        </w:numPr>
        <w:pStyle w:val="Compact"/>
      </w:pPr>
      <w:r>
        <w:t xml:space="preserve">Exibe modal de confirmação ao usuário antes de executar</w:t>
      </w:r>
    </w:p>
    <w:p>
      <w:pPr>
        <w:pStyle w:val="FirstParagraph"/>
      </w:pPr>
      <w:r>
        <w:t xml:space="preserve">O gate é integrado diretamente no</w:t>
      </w:r>
      <w:r>
        <w:t xml:space="preserve"> </w:t>
      </w:r>
      <w:r>
        <w:rPr>
          <w:rStyle w:val="VerbatimChar"/>
        </w:rPr>
        <w:t xml:space="preserve">saveStep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flowRouter.ts</w:t>
      </w:r>
      <w:r>
        <w:t xml:space="preserve">, garantindo que qualquer retrocesso — seja via botão na UI ou via API direta — passe pela limpeza.</w:t>
      </w:r>
    </w:p>
    <w:bookmarkEnd w:id="60"/>
    <w:bookmarkStart w:id="61" w:name="rollback-drill"/>
    <w:p>
      <w:pPr>
        <w:pStyle w:val="Heading3"/>
      </w:pPr>
      <w:r>
        <w:t xml:space="preserve">Rollback Drill</w:t>
      </w:r>
    </w:p>
    <w:p>
      <w:pPr>
        <w:pStyle w:val="FirstParagraph"/>
      </w:pPr>
      <w:r>
        <w:t xml:space="preserve">O ADR-002 define o plano de rollback para o caso de falha da migração V1→V3:</w:t>
      </w:r>
    </w:p>
    <w:p>
      <w:pPr>
        <w:numPr>
          <w:ilvl w:val="0"/>
          <w:numId w:val="1007"/>
        </w:numPr>
        <w:pStyle w:val="Compact"/>
      </w:pPr>
      <w:r>
        <w:t xml:space="preserve">Alterar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(sem deploy)</w:t>
      </w:r>
    </w:p>
    <w:p>
      <w:pPr>
        <w:numPr>
          <w:ilvl w:val="0"/>
          <w:numId w:val="1007"/>
        </w:numPr>
        <w:pStyle w:val="Compact"/>
      </w:pPr>
      <w:r>
        <w:t xml:space="preserve">O adaptador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 </w:t>
      </w:r>
      <w:r>
        <w:t xml:space="preserve">volta a servir todos os projetos via V1</w:t>
      </w:r>
    </w:p>
    <w:p>
      <w:pPr>
        <w:numPr>
          <w:ilvl w:val="0"/>
          <w:numId w:val="1007"/>
        </w:numPr>
        <w:pStyle w:val="Compact"/>
      </w:pPr>
      <w:r>
        <w:t xml:space="preserve">Tempo estimado de rollback: &lt; 2 minutos (apenas mudança de variável de ambiente)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b7fdc07c0eff7abb9fdba1369ccb0809ebc35b4"/>
    <w:p>
      <w:pPr>
        <w:pStyle w:val="Heading2"/>
      </w:pPr>
      <w:r>
        <w:t xml:space="preserve">16. Shadow Mode — Monitoramento de Divergências</w:t>
      </w:r>
      <w:r>
        <w:t xml:space="preserve"> </w:t>
      </w:r>
      <w:r>
        <w:rPr>
          <w:iCs/>
          <w:i/>
        </w:rPr>
        <w:t xml:space="preserve">(novo v5.0)</w:t>
      </w:r>
    </w:p>
    <w:bookmarkStart w:id="63" w:name="conceito"/>
    <w:p>
      <w:pPr>
        <w:pStyle w:val="Heading3"/>
      </w:pPr>
      <w:r>
        <w:t xml:space="preserve">Conceito</w:t>
      </w:r>
    </w:p>
    <w:p>
      <w:pPr>
        <w:pStyle w:val="FirstParagraph"/>
      </w:pPr>
      <w:r>
        <w:t xml:space="preserve">O Shadow Mode é o mecanismo de validação que executa os dois motores de diagnóstico em paralelo antes de ativar 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Em modo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, o sistema:</w:t>
      </w:r>
    </w:p>
    <w:p>
      <w:pPr>
        <w:numPr>
          <w:ilvl w:val="0"/>
          <w:numId w:val="1008"/>
        </w:numPr>
        <w:pStyle w:val="Compact"/>
      </w:pPr>
      <w:r>
        <w:t xml:space="preserve">Executa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 </w:t>
      </w:r>
      <w:r>
        <w:t xml:space="preserve">para V1 (fonte primária, retornada ao usuário)</w:t>
      </w:r>
    </w:p>
    <w:p>
      <w:pPr>
        <w:numPr>
          <w:ilvl w:val="0"/>
          <w:numId w:val="1008"/>
        </w:numPr>
        <w:pStyle w:val="Compact"/>
      </w:pPr>
      <w:r>
        <w:t xml:space="preserve">Executa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 </w:t>
      </w:r>
      <w:r>
        <w:t xml:space="preserve">para V3 (fonte secundária, apenas para comparação)</w:t>
      </w:r>
    </w:p>
    <w:p>
      <w:pPr>
        <w:numPr>
          <w:ilvl w:val="0"/>
          <w:numId w:val="1008"/>
        </w:numPr>
        <w:pStyle w:val="Compact"/>
      </w:pPr>
      <w:r>
        <w:t xml:space="preserve">Compara os resultados campo a campo</w:t>
      </w:r>
    </w:p>
    <w:p>
      <w:pPr>
        <w:numPr>
          <w:ilvl w:val="0"/>
          <w:numId w:val="1008"/>
        </w:numPr>
        <w:pStyle w:val="Compact"/>
      </w:pPr>
      <w:r>
        <w:t xml:space="preserve">Registra divergências na tabela</w:t>
      </w:r>
      <w:r>
        <w:t xml:space="preserve"> </w:t>
      </w:r>
      <w:r>
        <w:rPr>
          <w:rStyle w:val="VerbatimChar"/>
        </w:rPr>
        <w:t xml:space="preserve">diagnostic_shadow_divergences</w:t>
      </w:r>
    </w:p>
    <w:bookmarkEnd w:id="63"/>
    <w:bookmarkStart w:id="64" w:name="variável-de-controle"/>
    <w:p>
      <w:pPr>
        <w:pStyle w:val="Heading3"/>
      </w:pPr>
      <w:r>
        <w:t xml:space="preserve">Variável de Controle</w:t>
      </w:r>
    </w:p>
    <w:p>
      <w:pPr>
        <w:pStyle w:val="FirstParagraph"/>
      </w:pPr>
      <w:r>
        <w:t xml:space="preserve">A variável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controla o comportamento: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V1. Modo padrão antes da migração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+ V3 em paralelo. V1 retornado ao usuário. Divergências registradas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V3. Modo pós-migração completa</w:t>
            </w:r>
          </w:p>
        </w:tc>
      </w:tr>
    </w:tbl>
    <w:bookmarkEnd w:id="64"/>
    <w:bookmarkStart w:id="65" w:name="estado-atual-do-shadow-mode-t0-23032026"/>
    <w:p>
      <w:pPr>
        <w:pStyle w:val="Heading3"/>
      </w:pPr>
      <w:r>
        <w:t xml:space="preserve">Estado Atual do Shadow Mode (T=0, 23/03/2026)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divergências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do tipo</w:t>
            </w:r>
            <w:r>
              <w:t xml:space="preserve"> </w:t>
            </w:r>
            <w:r>
              <w:t xml:space="preserve">“</w:t>
            </w:r>
            <w:r>
              <w:t xml:space="preserve">legado tem valor, nova é null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conflito real (ambos com valores diferentes)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afetados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pré-v2.1 com dados apenas no fluxo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Campos monitorados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briefingContent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riskMatricesData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actionPlansData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UAT com 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projeto UAT criado ainda</w:t>
            </w:r>
          </w:p>
        </w:tc>
      </w:tr>
    </w:tbl>
    <w:p>
      <w:pPr>
        <w:pStyle w:val="BodyText"/>
      </w:pPr>
      <w:r>
        <w:t xml:space="preserve">Todas as 274 divergências são do padrão esperado: projetos criados antes da v2.1 têm dados no fluxo V1 mas não no V3. O adaptador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 </w:t>
      </w:r>
      <w:r>
        <w:t xml:space="preserve">os serve corretamente pelo fluxo V1.</w:t>
      </w:r>
    </w:p>
    <w:bookmarkEnd w:id="65"/>
    <w:bookmarkStart w:id="66" w:name="critério-de-ativação-do-modo-new"/>
    <w:p>
      <w:pPr>
        <w:pStyle w:val="Heading3"/>
      </w:pPr>
      <w:r>
        <w:t xml:space="preserve">Critério de Ativação do Modo</w:t>
      </w:r>
      <w:r>
        <w:t xml:space="preserve"> </w:t>
      </w:r>
      <w:r>
        <w:rPr>
          <w:rStyle w:val="VerbatimChar"/>
        </w:rPr>
        <w:t xml:space="preserve">new</w:t>
      </w:r>
    </w:p>
    <w:p>
      <w:pPr>
        <w:pStyle w:val="FirstParagraph"/>
      </w:pPr>
      <w:r>
        <w:t xml:space="preserve">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só deve ser ativado quando: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 divergências críticas</w:t>
      </w:r>
      <w:r>
        <w:t xml:space="preserve"> </w:t>
      </w:r>
      <w:r>
        <w:t xml:space="preserve">(tipo</w:t>
      </w:r>
      <w:r>
        <w:t xml:space="preserve"> </w:t>
      </w:r>
      <w:r>
        <w:t xml:space="preserve">“</w:t>
      </w:r>
      <w:r>
        <w:t xml:space="preserve">ambos com valores diferentes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 projetos UAT com divergência</w:t>
      </w:r>
      <w:r>
        <w:t xml:space="preserve"> </w:t>
      </w:r>
      <w:r>
        <w:t xml:space="preserve">(nenhum projeto criado no UAT apresenta divergência)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 de divergências ≤ 288</w:t>
      </w:r>
      <w:r>
        <w:t xml:space="preserve"> </w:t>
      </w:r>
      <w:r>
        <w:t xml:space="preserve">(5% acima do baseline de 274)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UAT aprovado</w:t>
      </w:r>
      <w:r>
        <w:t xml:space="preserve"> </w:t>
      </w:r>
      <w:r>
        <w:t xml:space="preserve">(≥ 80% de aprovação nos 8 cenários, feedback jurídico positivo)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c8609767e8a5af2b4188ec78152895c748d10cc"/>
    <w:p>
      <w:pPr>
        <w:pStyle w:val="Heading2"/>
      </w:pPr>
      <w:r>
        <w:t xml:space="preserve">17. Suite de Validação Automatizada — Onda 1 + Onda 2</w:t>
      </w:r>
      <w:r>
        <w:t xml:space="preserve"> </w:t>
      </w:r>
      <w:r>
        <w:rPr>
          <w:iCs/>
          <w:i/>
        </w:rPr>
        <w:t xml:space="preserve">(novo v5.0)</w:t>
      </w:r>
    </w:p>
    <w:bookmarkStart w:id="68" w:name="visão-geral"/>
    <w:p>
      <w:pPr>
        <w:pStyle w:val="Heading3"/>
      </w:pPr>
      <w:r>
        <w:t xml:space="preserve">Visão Geral</w:t>
      </w:r>
    </w:p>
    <w:p>
      <w:pPr>
        <w:pStyle w:val="FirstParagraph"/>
      </w:pPr>
      <w:r>
        <w:t xml:space="preserve">A plataforma possui uma suite de validação automatizada com</w:t>
      </w:r>
      <w:r>
        <w:t xml:space="preserve"> </w:t>
      </w:r>
      <w:r>
        <w:rPr>
          <w:bCs/>
          <w:b/>
        </w:rPr>
        <w:t xml:space="preserve">107 testes</w:t>
      </w:r>
      <w:r>
        <w:t xml:space="preserve"> </w:t>
      </w:r>
      <w:r>
        <w:t xml:space="preserve">divididos em duas ondas, cobrindo os requisitos não-funcionais de carga, concorrência, retrocesso e integridade de dados. Todos os 107 testes passam em 100% das execuções.</w:t>
      </w:r>
    </w:p>
    <w:bookmarkEnd w:id="68"/>
    <w:bookmarkStart w:id="69" w:name="onda-1-testes-t01-a-t10-75-asserções"/>
    <w:p>
      <w:pPr>
        <w:pStyle w:val="Heading3"/>
      </w:pPr>
      <w:r>
        <w:t xml:space="preserve">Onda 1 — Testes T01 a T10 (75 asserções)</w:t>
      </w:r>
    </w:p>
    <w:p>
      <w:pPr>
        <w:pStyle w:val="FirstParagraph"/>
      </w:pPr>
      <w:r>
        <w:t xml:space="preserve">A Onda 1 valida os requisitos funcionais básicos do fluxo V3 e do adaptador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de projetos em paralelo (10 simultâneos)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conditions de escrita (updates concorrentes)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Retrocesso simples (Etapa 3 →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de progresso (fechar e reabrir)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Limpeza de dados no retrocesso (gate F-03)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 de leituras (30 simultâneas)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de dados (CNAEs e respostas)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auditoria (retrocesso 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por papel (cliente vs. equipe_solaris)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de dados corrompidos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69"/>
    <w:bookmarkStart w:id="70" w:name="onda-2-testes-t11-a-t14-32-asserções"/>
    <w:p>
      <w:pPr>
        <w:pStyle w:val="Heading3"/>
      </w:pPr>
      <w:r>
        <w:t xml:space="preserve">Onda 2 — Testes T11 a T14 (32 asserções)</w:t>
      </w:r>
    </w:p>
    <w:p>
      <w:pPr>
        <w:pStyle w:val="FirstParagraph"/>
      </w:pPr>
      <w:r>
        <w:t xml:space="preserve">A Onda 2 valida os requisitos de carga extrema e retrocesso adversarial: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projetos criados em paralelo, race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141ms (limite: 10s)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de CNAEs confirmados (JSON nativo mysql2)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do questionário sem constraint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Retrocesso múltiplo acumulado, loop adversarial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</w:tbl>
    <w:bookmarkEnd w:id="70"/>
    <w:bookmarkStart w:id="71" w:name="lições-técnicas-da-onda-2"/>
    <w:p>
      <w:pPr>
        <w:pStyle w:val="Heading3"/>
      </w:pPr>
      <w:r>
        <w:t xml:space="preserve">Lições Técnicas da Onda 2</w:t>
      </w:r>
    </w:p>
    <w:p>
      <w:pPr>
        <w:pStyle w:val="FirstParagraph"/>
      </w:pPr>
      <w:r>
        <w:t xml:space="preserve">Durante a implementação da Onda 2, foram identificados e corrigidos três problemas técnicos relevantes:</w:t>
      </w:r>
    </w:p>
    <w:p>
      <w:pPr>
        <w:pStyle w:val="BodyText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createConnection</w:t>
      </w:r>
      <w:r>
        <w:rPr>
          <w:bCs/>
          <w:b/>
        </w:rPr>
        <w:t xml:space="preserve"> </w:t>
      </w:r>
      <w:r>
        <w:rPr>
          <w:bCs/>
          <w:b/>
        </w:rPr>
        <w:t xml:space="preserve">vs. </w:t>
      </w:r>
      <w:r>
        <w:rPr>
          <w:rStyle w:val="VerbatimChar"/>
          <w:bCs/>
          <w:b/>
        </w:rPr>
        <w:t xml:space="preserve">createPool</w:t>
      </w:r>
      <w:r>
        <w:rPr>
          <w:bCs/>
          <w:b/>
        </w:rPr>
        <w:t xml:space="preserve">:</w:t>
      </w:r>
      <w:r>
        <w:t xml:space="preserve"> </w:t>
      </w:r>
      <w:r>
        <w:t xml:space="preserve">Os arquivos de teste originalmente usavam</w:t>
      </w:r>
      <w:r>
        <w:t xml:space="preserve"> </w:t>
      </w:r>
      <w:r>
        <w:rPr>
          <w:rStyle w:val="VerbatimChar"/>
        </w:rPr>
        <w:t xml:space="preserve">createConnection</w:t>
      </w:r>
      <w:r>
        <w:t xml:space="preserve"> </w:t>
      </w:r>
      <w:r>
        <w:t xml:space="preserve">(conexão única), que conflitava quando múltiplos arquivos rodavam em paralelo no mesmo processo. A migração para</w:t>
      </w:r>
      <w:r>
        <w:t xml:space="preserve"> </w:t>
      </w:r>
      <w:r>
        <w:rPr>
          <w:rStyle w:val="VerbatimChar"/>
        </w:rPr>
        <w:t xml:space="preserve">createPool</w:t>
      </w:r>
      <w:r>
        <w:t xml:space="preserve"> </w:t>
      </w:r>
      <w:r>
        <w:t xml:space="preserve">com conexões independentes por arquivo resolveu os conflitos de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Schema divergente:</w:t>
      </w:r>
      <w:r>
        <w:t xml:space="preserve"> </w:t>
      </w:r>
      <w:r>
        <w:t xml:space="preserve">Os testes foram escritos para um schema com colunas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operationTypes</w:t>
      </w:r>
      <w:r>
        <w:t xml:space="preserve"> </w:t>
      </w:r>
      <w:r>
        <w:t xml:space="preserve">que não existiam no banco de produção. Os testes foram adaptados para usar o schema real.</w:t>
      </w:r>
    </w:p>
    <w:p>
      <w:pPr>
        <w:pStyle w:val="BodyText"/>
      </w:pPr>
      <w:r>
        <w:rPr>
          <w:bCs/>
          <w:b/>
        </w:rPr>
        <w:t xml:space="preserve">3. JSON nativo do mysql2:</w:t>
      </w:r>
      <w:r>
        <w:t xml:space="preserve"> </w:t>
      </w:r>
      <w:r>
        <w:t xml:space="preserve">O driver mysql2 retorna colunas JSON como objetos JavaScript nativos (não como strings). Chamadas a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em valores já parseados causavam</w:t>
      </w:r>
      <w:r>
        <w:t xml:space="preserve"> </w:t>
      </w:r>
      <w:r>
        <w:rPr>
          <w:rStyle w:val="VerbatimChar"/>
        </w:rPr>
        <w:t xml:space="preserve">"Unexpected end of JSON input"</w:t>
      </w:r>
      <w:r>
        <w:t xml:space="preserve">. A correção usa</w:t>
      </w:r>
      <w:r>
        <w:t xml:space="preserve"> </w:t>
      </w:r>
      <w:r>
        <w:rPr>
          <w:rStyle w:val="VerbatimChar"/>
        </w:rPr>
        <w:t xml:space="preserve">typeof value === 'string' ? JSON.parse(value) : 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cff3e6919f188022743f9c0a2270b3af77828ee"/>
    <w:p>
      <w:pPr>
        <w:pStyle w:val="Heading2"/>
      </w:pPr>
      <w:r>
        <w:t xml:space="preserve">18. Limitações e Salvaguardas Anti-Alucinação</w:t>
      </w:r>
    </w:p>
    <w:p>
      <w:pPr>
        <w:pStyle w:val="FirstParagraph"/>
      </w:pPr>
      <w:r>
        <w:t xml:space="preserve">A plataforma é transparente sobre as limitações da IA:</w:t>
      </w:r>
    </w:p>
    <w:p>
      <w:pPr>
        <w:numPr>
          <w:ilvl w:val="0"/>
          <w:numId w:val="1010"/>
        </w:numPr>
        <w:pStyle w:val="Compact"/>
      </w:pPr>
      <w:r>
        <w:t xml:space="preserve">As citações legais podem ser parafraseadas de forma imprecisa mesmo com RAG</w:t>
      </w:r>
    </w:p>
    <w:p>
      <w:pPr>
        <w:numPr>
          <w:ilvl w:val="0"/>
          <w:numId w:val="1010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 </w:t>
      </w:r>
      <w:r>
        <w:t xml:space="preserve">sinaliza quando revisão por advogado é obrigatória</w:t>
      </w:r>
    </w:p>
    <w:p>
      <w:pPr>
        <w:numPr>
          <w:ilvl w:val="0"/>
          <w:numId w:val="1010"/>
        </w:numPr>
        <w:pStyle w:val="Compact"/>
      </w:pPr>
      <w:r>
        <w:t xml:space="preserve">Para setores muito específicos (mineração de lítio, biotecnologia avançada), o embedding semântico pode não encontrar CNAEs com alta similaridade</w:t>
      </w:r>
    </w:p>
    <w:p>
      <w:pPr>
        <w:numPr>
          <w:ilvl w:val="0"/>
          <w:numId w:val="1010"/>
        </w:numPr>
        <w:pStyle w:val="Compact"/>
      </w:pPr>
      <w:r>
        <w:t xml:space="preserve">A Reforma Tributária ainda está sendo regulamentada — artigos do corpus podem ser alterados por resoluções posteriores</w:t>
      </w:r>
    </w:p>
    <w:p>
      <w:pPr>
        <w:numPr>
          <w:ilvl w:val="0"/>
          <w:numId w:val="1010"/>
        </w:numPr>
        <w:pStyle w:val="Compact"/>
      </w:pPr>
      <w:r>
        <w:t xml:space="preserve">A tradução financeira do risco é uma estimativa baseada em fatores percentuais, não em análise contábil real</w:t>
      </w:r>
    </w:p>
    <w:bookmarkStart w:id="73" w:name="salvaguardas-implementadas"/>
    <w:p>
      <w:pPr>
        <w:pStyle w:val="Heading3"/>
      </w:pPr>
      <w:r>
        <w:t xml:space="preserve">Salvaguardas Implementadas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Salvaguarda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Instrução no final de cada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auto-verifica antes de responder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Instrução anti-alucinação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cite apenas artigos do contexto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 citações inventadas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obrigatório no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sabe o nível de confiança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Recomendação de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com 3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 quando advogado é necessário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Alertas de Inconsistência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visual (Sprint V64)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Destaca contradições nas respostas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determinístico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matemático sem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auditável e reprodutível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em todas as saídas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Rejeita outputs malformados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semântico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por cosseno quando LLM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sempre vê sugestões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 de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amber no modal de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sabe que IA usou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 de validade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dados muito desatualizados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toda segunda às 03h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embeddings atualizados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Alertas de rebuild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notifyOwner()</w:t>
            </w:r>
            <w:r>
              <w:t xml:space="preserve"> </w:t>
            </w:r>
            <w:r>
              <w:t xml:space="preserve">para 5 cenários de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notificado imediatamente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  <w:r>
              <w:t xml:space="preserve"> </w:t>
            </w:r>
            <w:r>
              <w:rPr>
                <w:rStyle w:val="VerbatimChar"/>
              </w:rPr>
              <w:t xml:space="preserve">extractCnaes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25s com fallback imediato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spinner infinito para 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TIMEOUT vs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estruturado no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rápido sem vasculhar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Adaptador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getDiagnosticSource()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Centraliza 121 leituras do 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Migração V1→V3 auditável e reversível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de retrocesso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cleanupOnRetrocesso()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saveStep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Dados órfãos eliminados automaticamente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Execução paralela V1/V3 com registro de divergências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Migração validada antes de ativar modo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métricas-de-qualidade-e-roadmap"/>
    <w:p>
      <w:pPr>
        <w:pStyle w:val="Heading2"/>
      </w:pPr>
      <w:r>
        <w:t xml:space="preserve">19. Métricas de Qualidade e Roadmap</w:t>
      </w:r>
    </w:p>
    <w:bookmarkStart w:id="75" w:name="métricas-atuais-sprint-v5.3.0"/>
    <w:p>
      <w:pPr>
        <w:pStyle w:val="Heading3"/>
      </w:pPr>
      <w:r>
        <w:t xml:space="preserve">Métricas Atuais (Sprint v5.3.0)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Precisão de identificação de CNAEs (top-20)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  <w:r>
              <w:rPr>
                <w:vertAlign w:val="subscript"/>
              </w:rPr>
              <w:t xml:space="preserve">97%** (vs. </w:t>
            </w:r>
            <w:r>
              <w:t xml:space="preserve">78% com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CNAE (embeddings no banco)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(1.332/1.332)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Precisão de citação RAG legislativo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retry por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falha de validação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geração de 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geração de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geração de matrizes (4 áreas)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~35s (paralelo)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Latência adicional por embeddings (query)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máximo do</w:t>
            </w:r>
            <w:r>
              <w:t xml:space="preserve"> </w:t>
            </w:r>
            <w:r>
              <w:rPr>
                <w:rStyle w:val="VerbatimChar"/>
              </w:rPr>
              <w:t xml:space="preserve">extractCnaes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 passando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107/107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Shadow Mode críticas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75"/>
    <w:bookmarkStart w:id="76" w:name="roadmap-de-evolução-da-ia"/>
    <w:p>
      <w:pPr>
        <w:pStyle w:val="Heading3"/>
      </w:pPr>
      <w:r>
        <w:t xml:space="preserve">Roadmap de Evolução da 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Ativação do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UAT aprovado (≥ 80% cenários, 0 divergências críticas)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no</w:t>
            </w:r>
            <w:r>
              <w:t xml:space="preserve"> </w:t>
            </w:r>
            <w:r>
              <w:rPr>
                <w:rStyle w:val="VerbatimChar"/>
              </w:rPr>
              <w:t xml:space="preserve">refineCnaes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</w:t>
            </w:r>
            <w:r>
              <w:t xml:space="preserve"> </w:t>
            </w:r>
            <w:r>
              <w:rPr>
                <w:rStyle w:val="VerbatimChar"/>
              </w:rPr>
              <w:t xml:space="preserve">timeoutMs: 30_000</w:t>
            </w:r>
            <w:r>
              <w:t xml:space="preserve"> </w:t>
            </w:r>
            <w:r>
              <w:t xml:space="preserve">para consistência com</w:t>
            </w:r>
            <w:r>
              <w:t xml:space="preserve"> </w:t>
            </w:r>
            <w:r>
              <w:rPr>
                <w:rStyle w:val="VerbatimChar"/>
              </w:rPr>
              <w:t xml:space="preserve">extractCnaes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do 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LIKE por busca semântica nos artigos legais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de respostas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Exibir briefing sendo gerado em tempo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cobertura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vermelho no sidebar quando cobertura &lt;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por CNAE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embedding de um único CNAE sem rebuild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integração do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quando LLM falha, top-5 por cosseno são retornados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setorial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especializado em tributação brasileira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V80+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 contratos e notas fiscais para análise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V80+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apêndice-a-arquivos-de-código-relevantes"/>
    <w:p>
      <w:pPr>
        <w:pStyle w:val="Heading2"/>
      </w:pPr>
      <w:r>
        <w:t xml:space="preserve">Apêndice A — Arquivos de Código Relevantes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server/cnae-embeddings.ts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semântico vetorial, cache, multi-query,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server/routers-admin-embeddings.ts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admin de rebuild, status,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server/embeddings-scheduler.ts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 de rebuild + alertas granulares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V73 + v5.2.0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server/_core/llm.ts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LLM com timeout e AbortController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server/ai-helpers.ts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calculateGlobalScore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server/ai-schemas.ts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Zod para todos os outputs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server/rag-retriever.ts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RAG híbrido (LIKE + re-ranking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server/rag-corpus.ts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de 1.241 documentos tributários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server/routers-fluxo-v3.ts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7 pontos de integração da IA + timeout 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drizzle/schema.ts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</w:t>
            </w:r>
            <w:r>
              <w:t xml:space="preserve"> </w:t>
            </w:r>
            <w:r>
              <w:rPr>
                <w:rStyle w:val="VerbatimChar"/>
              </w:rPr>
              <w:t xml:space="preserve">cnaeEmbeddings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embeddingRebuildLogs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diagnostic_shadow_divergences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Existente + v5.2.0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scripts/generate-cnae-embeddings.mjs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geração inicial dos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client/src/pages/AdminEmbeddings.tsx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 administração de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client/src/pages/NovoProjeto.tsx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de CNAEs com detecção de fallback e banner 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server/diagnostic-source.ts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Adaptador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getDiagnosticSource()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centraliza 121 leituras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v5.2.0 (F-01)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server/retrocesso-cleanup.ts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de limpeza de dados no retrocesso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v5.2.0 (F-03)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server/routers/shadowMode.ts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Endpoints do Shadow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server/onda1-t01-t05.test.ts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T01–T05 (37 asserções)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server/onda1-t06-t10.test.ts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T06–T10 (38 asserções)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server/onda2-t11-carga.test.ts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T11 — 50 projetos em paralelo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server/onda2-t12-t13.test.ts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T12–T13 — integridade de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server/onda2-t14-retrocesso.test.ts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T14 — retrocesso adversarial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apêndice-b-variáveis-de-ambiente"/>
    <w:p>
      <w:pPr>
        <w:pStyle w:val="Heading2"/>
      </w:pPr>
      <w:r>
        <w:t xml:space="preserve">Apêndice B — Variáveis de Ambiente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na API OpenAI (LLM GPT-4.1 + embeddings)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causa falha silenciosa do CNAE discovery em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 com TiDB para corpus RAG e 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de cookies de sessão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da aplicação Manus OAuth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DIAGNOSTIC_READ_MODE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do motor de 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Valores: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. Padrão: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BUILT_IN_FORGE_API_KEY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na Forge API (legado)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 para compatibilidade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BUILT_IN_FORGE_API_URL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base da Forge API (legado)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 para compatibilidade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VITE_FRONTEND_FORGE_API_KEY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frontend (não utilizado para 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Atenção crítica: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deve ser configurada como secret tanto no ambiente de desenvolvimento quanto em produção. A ausência desta variável causa o erro</w:t>
      </w:r>
      <w:r>
        <w:t xml:space="preserve"> </w:t>
      </w:r>
      <w:r>
        <w:t xml:space="preserve">“</w:t>
      </w:r>
      <w:r>
        <w:t xml:space="preserve">OPENAI_API_KEY is not configured</w:t>
      </w:r>
      <w:r>
        <w:t xml:space="preserve">”</w:t>
      </w:r>
      <w:r>
        <w:t xml:space="preserve"> </w:t>
      </w:r>
      <w:r>
        <w:t xml:space="preserve">no servidor, fazendo o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falhar silenciosamente e o modal de CNAEs abrir vazio.</w:t>
      </w:r>
    </w:p>
    <w:p>
      <w:pPr>
        <w:pStyle w:val="BlockText"/>
      </w:pPr>
      <w:r>
        <w:rPr>
          <w:bCs/>
          <w:b/>
        </w:rPr>
        <w:t xml:space="preserve">Atenção: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deve ser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durante o UAT. Só deve ser alterado para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após aprovação formal do UAT com todos os critérios atendidos.</w:t>
      </w:r>
    </w:p>
    <w:p>
      <w:r>
        <w:pict>
          <v:rect style="width:0;height:1.5pt" o:hralign="center" o:hrstd="t" o:hr="t"/>
        </w:pict>
      </w:r>
    </w:p>
    <w:bookmarkEnd w:id="79"/>
    <w:bookmarkStart w:id="85" w:name="apêndice-c-tabelas-do-banco-de-dados"/>
    <w:p>
      <w:pPr>
        <w:pStyle w:val="Heading2"/>
      </w:pPr>
      <w:r>
        <w:t xml:space="preserve">Apêndice C — Tabelas do Banco de Dados</w:t>
      </w:r>
    </w:p>
    <w:bookmarkStart w:id="80" w:name="tabela-cnaeembeddings-sprint-v71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cnaeEmbeddings</w:t>
      </w:r>
      <w:r>
        <w:t xml:space="preserve"> </w:t>
      </w:r>
      <w:r>
        <w:t xml:space="preserve">(Sprint V71)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CNAE (ex:</w:t>
            </w:r>
            <w:r>
              <w:t xml:space="preserve"> </w:t>
            </w:r>
            <w:r>
              <w:rPr>
                <w:rStyle w:val="VerbatimChar"/>
              </w:rPr>
              <w:t xml:space="preserve">4632-0/01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oficial do IBGE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Vetor de 1.536 floats em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criação/atualização</w:t>
            </w:r>
          </w:p>
        </w:tc>
      </w:tr>
    </w:tbl>
    <w:bookmarkEnd w:id="80"/>
    <w:bookmarkStart w:id="81" w:name="tabela-embeddingrebuildlogs-sprint-v73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embeddingRebuildLogs</w:t>
      </w:r>
      <w:r>
        <w:t xml:space="preserve"> </w:t>
      </w:r>
      <w:r>
        <w:t xml:space="preserve">(Sprint V73)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manual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cron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triggeredByUserId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usuário (se 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running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failed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CNAEs a processar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CNAEs processados com sucesso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erros de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em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da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finishedAt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da execução</w:t>
            </w:r>
          </w:p>
        </w:tc>
      </w:tr>
    </w:tbl>
    <w:bookmarkEnd w:id="81"/>
    <w:bookmarkStart w:id="82" w:name="X505e60a003da9ad3fb95b95af5832ac9870c55f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diagnostic_shadow_divergences</w:t>
      </w:r>
      <w:r>
        <w:t xml:space="preserve"> </w:t>
      </w:r>
      <w:r>
        <w:rPr>
          <w:iCs/>
          <w:i/>
        </w:rPr>
        <w:t xml:space="preserve">(novo v5.0)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projeto com divergência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com divergência (ex:</w:t>
            </w:r>
            <w:r>
              <w:t xml:space="preserve"> </w:t>
            </w:r>
            <w:r>
              <w:rPr>
                <w:rStyle w:val="VerbatimChar"/>
              </w:rPr>
              <w:t xml:space="preserve">briefingContent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divergência (ex:</w:t>
            </w:r>
            <w:r>
              <w:t xml:space="preserve"> </w:t>
            </w:r>
            <w:r>
              <w:t xml:space="preserve">“</w:t>
            </w:r>
            <w:r>
              <w:t xml:space="preserve">legacy_has_value_new_is_null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do motor V1 (truncado para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do motor V3 (truncado para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da divergência</w:t>
            </w:r>
          </w:p>
        </w:tc>
      </w:tr>
    </w:tbl>
    <w:bookmarkEnd w:id="82"/>
    <w:bookmarkStart w:id="83" w:name="tabela-projectauditlog-novo-v5.0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projectAuditLog</w:t>
      </w:r>
      <w:r>
        <w:t xml:space="preserve"> </w:t>
      </w:r>
      <w:r>
        <w:rPr>
          <w:iCs/>
          <w:i/>
        </w:rPr>
        <w:t xml:space="preserve">(novo v5.0)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executada (ex:</w:t>
            </w:r>
            <w:r>
              <w:t xml:space="preserve"> </w:t>
            </w:r>
            <w:r>
              <w:t xml:space="preserve">“</w:t>
            </w:r>
            <w:r>
              <w:t xml:space="preserve">retrocesso_limpeza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de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de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removidos (resumo)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usuário que executou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UTC da operação</w:t>
            </w:r>
          </w:p>
        </w:tc>
      </w:tr>
    </w:tbl>
    <w:bookmarkEnd w:id="83"/>
    <w:bookmarkStart w:id="84" w:name="tabela-ragdocuments-existente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ragDocuments</w:t>
      </w:r>
      <w:r>
        <w:t xml:space="preserve"> </w:t>
      </w:r>
      <w:r>
        <w:t xml:space="preserve">(Existente)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legal (lc214, ec132,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do artigo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do artigo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Palavras-chave para busca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Grupos CNAE aplicáveis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do chunk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X4bb5036c89104cdef1bdedc764b17f6c96c857b"/>
    <w:p>
      <w:pPr>
        <w:pStyle w:val="Heading2"/>
      </w:pPr>
      <w:r>
        <w:t xml:space="preserve">Apêndice D — ADRs e Decisões Arquiteturais</w:t>
      </w:r>
      <w:r>
        <w:t xml:space="preserve"> </w:t>
      </w:r>
      <w:r>
        <w:rPr>
          <w:iCs/>
          <w:i/>
        </w:rPr>
        <w:t xml:space="preserve">(novo v5.0)</w:t>
      </w:r>
    </w:p>
    <w:p>
      <w:pPr>
        <w:pStyle w:val="FirstParagraph"/>
      </w:pPr>
      <w:r>
        <w:t xml:space="preserve">A plataforma mantém 8 Architecture Decision Records (ADRs) que documentam as decisões técnicas mais relevantes: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do Diagnóstico Tributário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Implementação com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Exaustão de Riscos (Matriz 20 riscos, 19 consumidores)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de Verdade do Diagnóstico (7 decisões formais)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Físico das Fontes de Verdade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Validação Prática do 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Limpeza de Dados no Retrocesso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de Schema (F-04)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implementação</w:t>
            </w:r>
          </w:p>
        </w:tc>
      </w:tr>
    </w:tbl>
    <w:p>
      <w:pPr>
        <w:pStyle w:val="BodyText"/>
      </w:pPr>
      <w:r>
        <w:t xml:space="preserve">Os ADRs estão disponíveis em</w:t>
      </w:r>
      <w:r>
        <w:t xml:space="preserve"> </w:t>
      </w:r>
      <w:r>
        <w:rPr>
          <w:rStyle w:val="VerbatimChar"/>
        </w:rPr>
        <w:t xml:space="preserve">docs/product/cpie-v2/produto/ADR-00X-*.md</w:t>
      </w:r>
      <w:r>
        <w:t xml:space="preserve"> </w:t>
      </w:r>
      <w:r>
        <w:t xml:space="preserve">no repositório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atualizado em 23/03/2026 — IA SOLARIS v5.0 (Sprint v5.3.0)</w:t>
      </w:r>
      <w:r>
        <w:t xml:space="preserve"> </w:t>
      </w:r>
      <w:r>
        <w:rPr>
          <w:iCs/>
          <w:i/>
        </w:rPr>
        <w:t xml:space="preserve">Versão anterior: v4.0 (IA SOLARIS v5.2.0, Sprint V74, 21/03/2026)</w:t>
      </w:r>
      <w:r>
        <w:t xml:space="preserve"> </w:t>
      </w:r>
      <w:r>
        <w:rPr>
          <w:iCs/>
          <w:i/>
        </w:rPr>
        <w:t xml:space="preserve">Próxima revisão prevista: Junho de 2026 (Sprint V80)</w:t>
      </w:r>
      <w:r>
        <w:t xml:space="preserve"> </w:t>
      </w:r>
      <w:r>
        <w:rPr>
          <w:iCs/>
          <w:i/>
        </w:rPr>
        <w:t xml:space="preserve">Mantido por: Equipe SOLARIS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2026-03-23T22:50:37Z</dcterms:created>
  <dcterms:modified xsi:type="dcterms:W3CDTF">2026-03-23T22:50:37Z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