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462fc478eb03a9fe19aec3a6dce5ff7d4586c3"/>
    <w:p>
      <w:pPr>
        <w:pStyle w:val="Heading1"/>
      </w:pPr>
      <w:r>
        <w:t xml:space="preserve">ADR-010 — Arquitetura Canônica de Conteúdo Diagnóstico para Confiabilidade 98%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Aprovado com ajustes obrigatórios — gate B1 liberado para B2 após incorporação dos ajustes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2026-03-23</w:t>
      </w:r>
      <w:r>
        <w:br/>
      </w:r>
      <w:r>
        <w:rPr>
          <w:bCs/>
          <w:b/>
        </w:rPr>
        <w:t xml:space="preserve">Autores:</w:t>
      </w:r>
      <w:r>
        <w:t xml:space="preserve"> </w:t>
      </w:r>
      <w:r>
        <w:t xml:space="preserve">Manus AI / Equipe IA SOLARIS</w:t>
      </w:r>
      <w:r>
        <w:br/>
      </w:r>
      <w:r>
        <w:rPr>
          <w:bCs/>
          <w:b/>
        </w:rPr>
        <w:t xml:space="preserve">Issue:</w:t>
      </w:r>
      <w:r>
        <w:t xml:space="preserve"> </w:t>
      </w:r>
      <w:hyperlink r:id="rId20">
        <w:r>
          <w:rPr>
            <w:rStyle w:val="Hyperlink"/>
          </w:rPr>
          <w:t xml:space="preserve">#63</w:t>
        </w:r>
      </w:hyperlink>
      <w:r>
        <w:br/>
      </w:r>
      <w:r>
        <w:rPr>
          <w:bCs/>
          <w:b/>
        </w:rPr>
        <w:t xml:space="preserve">Milestone:</w:t>
      </w:r>
      <w:r>
        <w:t xml:space="preserve"> </w:t>
      </w:r>
      <w:hyperlink r:id="rId21">
        <w:r>
          <w:rPr>
            <w:rStyle w:val="Hyperlink"/>
          </w:rPr>
          <w:t xml:space="preserve">Sprint-98-Confidence-Content-Engine</w:t>
        </w:r>
      </w:hyperlink>
    </w:p>
    <w:p>
      <w:r>
        <w:pict>
          <v:rect style="width:0;height:1.5pt" o:hralign="center" o:hrstd="t" o:hr="t"/>
        </w:pict>
      </w:r>
    </w:p>
    <w:bookmarkStart w:id="22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 plataforma IA SOLARIS atingiu estabilidade técnica completa na Sprint v5.3.0: fluxo de 5 etapas, persistência, concorrência (107/107 testes), Shadow Mode com 274 divergências esperadas e 0 críticas, e TypeScript sem erros. No entanto, a avaliação qualitativa dos outputs revelou que a qualidade semântica e regulatória dos questionários, briefing, matriz de riscos e plano de ação está abaixo de 30% do esperado.</w:t>
      </w:r>
    </w:p>
    <w:p>
      <w:pPr>
        <w:pStyle w:val="BodyText"/>
      </w:pPr>
      <w:r>
        <w:t xml:space="preserve">A análise de causa raiz identificou 5 vetores de falha estruturais:</w:t>
      </w:r>
    </w:p>
    <w:p>
      <w:pPr>
        <w:pStyle w:val="BodyText"/>
      </w:pPr>
      <w:r>
        <w:rPr>
          <w:bCs/>
          <w:b/>
        </w:rPr>
        <w:t xml:space="preserve">Vetor 1 — Ausência de contrato de entrada por etapa.</w:t>
      </w:r>
      <w:r>
        <w:t xml:space="preserve"> </w:t>
      </w:r>
      <w:r>
        <w:t xml:space="preserve">Cada etapa do fluxo recebe inputs não padronizados, sem definição formal do que entra, como é processado e o que sai. Isso gera inconsistências entre etapas e impossibilita a rastreabilidade.</w:t>
      </w:r>
    </w:p>
    <w:p>
      <w:pPr>
        <w:pStyle w:val="BodyText"/>
      </w:pPr>
      <w:r>
        <w:rPr>
          <w:bCs/>
          <w:b/>
        </w:rPr>
        <w:t xml:space="preserve">Vetor 2 — Ausência de requirement-to-question mapping.</w:t>
      </w:r>
      <w:r>
        <w:t xml:space="preserve"> </w:t>
      </w:r>
      <w:r>
        <w:t xml:space="preserve">As perguntas geradas não têm vínculo formal com os requisitos normativos aplicáveis (LC 214, LC 224, LC 227, EC 132). O LLM gera perguntas genéricas sem ancoragem no corpus RAG, produzindo questionários que não cobrem os requisitos legais relevantes para o perfil da empresa.</w:t>
      </w:r>
    </w:p>
    <w:p>
      <w:pPr>
        <w:pStyle w:val="BodyText"/>
      </w:pPr>
      <w:r>
        <w:rPr>
          <w:bCs/>
          <w:b/>
        </w:rPr>
        <w:t xml:space="preserve">Vetor 3 — Ausência de coverage control.</w:t>
      </w:r>
      <w:r>
        <w:t xml:space="preserve"> </w:t>
      </w:r>
      <w:r>
        <w:t xml:space="preserve">Não há mecanismo que garanta que 100% dos requisitos aplicáveis foram perguntados, respondidos e avaliados. O briefing pode ser gerado com lacunas regulatórias significativas sem nenhum alerta.</w:t>
      </w:r>
    </w:p>
    <w:p>
      <w:pPr>
        <w:pStyle w:val="BodyText"/>
      </w:pPr>
      <w:r>
        <w:rPr>
          <w:bCs/>
          <w:b/>
        </w:rPr>
        <w:t xml:space="preserve">Vetor 4 — Ausência de gap formal e cadeia de rastreabilidade.</w:t>
      </w:r>
      <w:r>
        <w:t xml:space="preserve"> </w:t>
      </w:r>
      <w:r>
        <w:t xml:space="preserve">As respostas dos usuários não são transformadas em estados formais de conformidade (atende/não_atende/parcial/evidência_insuficiente/não_aplicável). Sem gap formal, não há base para gerar riscos e ações rastreáveis.</w:t>
      </w:r>
    </w:p>
    <w:p>
      <w:pPr>
        <w:pStyle w:val="BodyText"/>
      </w:pPr>
      <w:r>
        <w:rPr>
          <w:bCs/>
          <w:b/>
        </w:rPr>
        <w:t xml:space="preserve">Vetor 5 — Risk scoring e action planning sem estrutura.</w:t>
      </w:r>
      <w:r>
        <w:t xml:space="preserve"> </w:t>
      </w:r>
      <w:r>
        <w:t xml:space="preserve">Os riscos são gerados com texto livre sem taxonomia hierárquica, sem scoring determinístico e sem vínculo obrigatório com o gap de origem. As ações são genéricas, sem template por domínio e sem prazo determinístico.</w:t>
      </w:r>
    </w:p>
    <w:p>
      <w:r>
        <w:pict>
          <v:rect style="width:0;height:1.5pt" o:hralign="center" o:hrstd="t" o:hr="t"/>
        </w:pict>
      </w:r>
    </w:p>
    <w:bookmarkEnd w:id="22"/>
    <w:bookmarkStart w:id="25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t xml:space="preserve">Adotar uma</w:t>
      </w:r>
      <w:r>
        <w:t xml:space="preserve"> </w:t>
      </w:r>
      <w:r>
        <w:rPr>
          <w:bCs/>
          <w:b/>
        </w:rPr>
        <w:t xml:space="preserve">arquitetura de conteúdo baseada em 6 engines obrigatórias e sequenciais</w:t>
      </w:r>
      <w:r>
        <w:t xml:space="preserve">, onde cada engine tem contrato formal de entrada e saída, e a cadeia de rastreabilidade</w:t>
      </w:r>
      <w:r>
        <w:t xml:space="preserve"> </w:t>
      </w:r>
      <w:r>
        <w:rPr>
          <w:rStyle w:val="VerbatimChar"/>
        </w:rPr>
        <w:t xml:space="preserve">Requisito → Gap → Risco → Ação</w:t>
      </w:r>
      <w:r>
        <w:t xml:space="preserve"> </w:t>
      </w:r>
      <w:r>
        <w:t xml:space="preserve">é inviolável.</w:t>
      </w:r>
    </w:p>
    <w:bookmarkStart w:id="23" w:name="arquitetura-das-6-engines"/>
    <w:p>
      <w:pPr>
        <w:pStyle w:val="Heading3"/>
      </w:pPr>
      <w:r>
        <w:t xml:space="preserve">Arquitetura das 6 engines</w:t>
      </w:r>
    </w:p>
    <w:p>
      <w:pPr>
        <w:pStyle w:val="SourceCode"/>
      </w:pPr>
      <w:r>
        <w:rPr>
          <w:rStyle w:val="VerbatimChar"/>
        </w:rPr>
        <w:t xml:space="preserve">Perfil + CNAE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[Requirement Engine]  ← RAG filtrado por CNAE, porte, regime, UF</w:t>
      </w:r>
      <w:r>
        <w:br/>
      </w:r>
      <w:r>
        <w:rPr>
          <w:rStyle w:val="VerbatimChar"/>
        </w:rPr>
        <w:t xml:space="preserve">    │ requirements[]  (id, source, applicable, layer, cnae_scope)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[Question Engine]     ← requirement-to-question mapping + deduplicação + LLM-as-judge</w:t>
      </w:r>
      <w:r>
        <w:br/>
      </w:r>
      <w:r>
        <w:rPr>
          <w:rStyle w:val="VerbatimChar"/>
        </w:rPr>
        <w:t xml:space="preserve">    │ questions[]     (id, requirement_id, source_reference, confidence, score)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[Respostas do usuário]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[Gap Engine]          ← classificação formal determinística</w:t>
      </w:r>
      <w:r>
        <w:br/>
      </w:r>
      <w:r>
        <w:rPr>
          <w:rStyle w:val="VerbatimChar"/>
        </w:rPr>
        <w:t xml:space="preserve">    │ gaps[]          (id, question_id, requirement_id, gap_status, confidence)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▼                                                      ▼</w:t>
      </w:r>
      <w:r>
        <w:br/>
      </w:r>
      <w:r>
        <w:rPr>
          <w:rStyle w:val="VerbatimChar"/>
        </w:rPr>
        <w:t xml:space="preserve">[Coverage Engine]     ← gate de completude 100%    [Consistency Engine] ← contradições cross-stage</w:t>
      </w:r>
      <w:r>
        <w:br/>
      </w:r>
      <w:r>
        <w:rPr>
          <w:rStyle w:val="VerbatimChar"/>
        </w:rPr>
        <w:t xml:space="preserve">    │ coverage_report                                      │ conflicts[]</w:t>
      </w:r>
      <w:r>
        <w:br/>
      </w:r>
      <w:r>
        <w:rPr>
          <w:rStyle w:val="VerbatimChar"/>
        </w:rPr>
        <w:t xml:space="preserve">    │ (gate: bloqueia briefing se &lt; 100%)                 │ (gate: bloqueia briefing se severity=high)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[Risk Engine]         ← taxonomia 3 níveis + scoring híbrido</w:t>
      </w:r>
      <w:r>
        <w:br/>
      </w:r>
      <w:r>
        <w:rPr>
          <w:rStyle w:val="VerbatimChar"/>
        </w:rPr>
        <w:t xml:space="preserve">                                │ risks[]     (id, gap_id, requirement_id, taxonomy, score, impact)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[Action Engine]       ← templates por domínio + prazo determinístico</w:t>
      </w:r>
      <w:r>
        <w:br/>
      </w:r>
      <w:r>
        <w:rPr>
          <w:rStyle w:val="VerbatimChar"/>
        </w:rPr>
        <w:t xml:space="preserve">                                │ actions[]   (id, risk_id, gap_id, requirement_id, template_id, deadline)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[Outputs]</w:t>
      </w:r>
      <w:r>
        <w:br/>
      </w:r>
      <w:r>
        <w:rPr>
          <w:rStyle w:val="VerbatimChar"/>
        </w:rPr>
        <w:t xml:space="preserve">                            ├── Briefing (template 8 seções + grounding normativo)</w:t>
      </w:r>
      <w:r>
        <w:br/>
      </w:r>
      <w:r>
        <w:rPr>
          <w:rStyle w:val="VerbatimChar"/>
        </w:rPr>
        <w:t xml:space="preserve">                            ├── Matriz de Riscos (taxonomia 3 níveis + clustering)</w:t>
      </w:r>
      <w:r>
        <w:br/>
      </w:r>
      <w:r>
        <w:rPr>
          <w:rStyle w:val="VerbatimChar"/>
        </w:rPr>
        <w:t xml:space="preserve">                            └── Plano de Ação (templates + prioridade determinística)</w:t>
      </w:r>
    </w:p>
    <w:bookmarkEnd w:id="23"/>
    <w:bookmarkStart w:id="24" w:name="regras-fundamentais-invioláveis"/>
    <w:p>
      <w:pPr>
        <w:pStyle w:val="Heading3"/>
      </w:pPr>
      <w:r>
        <w:t xml:space="preserve">5 Regras fundamentais (invioláveis)</w:t>
      </w:r>
    </w:p>
    <w:p>
      <w:pPr>
        <w:pStyle w:val="FirstParagraph"/>
      </w:pPr>
      <w:r>
        <w:rPr>
          <w:bCs/>
          <w:b/>
        </w:rPr>
        <w:t xml:space="preserve">Regra 1 — Fonte obrigatória:</w:t>
      </w:r>
      <w:r>
        <w:t xml:space="preserve"> </w:t>
      </w:r>
      <w:r>
        <w:t xml:space="preserve">toda pergunta gerada deve ter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 Perguntas sem fonte são bloqueadas pelo protocolo</w:t>
      </w:r>
      <w:r>
        <w:t xml:space="preserve"> </w:t>
      </w:r>
      <w:r>
        <w:rPr>
          <w:rStyle w:val="VerbatimChar"/>
        </w:rPr>
        <w:t xml:space="preserve">NO_QUESTION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Regra 2 — Coverage total:</w:t>
      </w:r>
      <w:r>
        <w:t xml:space="preserve"> </w:t>
      </w:r>
      <w:r>
        <w:t xml:space="preserve">nenhum requisito aplicável pode ficar sem pergunta, resposta e avaliação de gap.</w:t>
      </w:r>
      <w:r>
        <w:t xml:space="preserve"> </w:t>
      </w:r>
      <w:r>
        <w:rPr>
          <w:rStyle w:val="VerbatimChar"/>
        </w:rPr>
        <w:t xml:space="preserve">coverage &lt; 100%</w:t>
      </w:r>
      <w:r>
        <w:t xml:space="preserve"> </w:t>
      </w:r>
      <w:r>
        <w:t xml:space="preserve">bloqueia a geração do briefing.</w:t>
      </w:r>
    </w:p>
    <w:p>
      <w:pPr>
        <w:pStyle w:val="BodyText"/>
      </w:pPr>
      <w:r>
        <w:rPr>
          <w:bCs/>
          <w:b/>
        </w:rPr>
        <w:t xml:space="preserve">Regra 3 — Cadeia obrigatória:</w:t>
      </w:r>
      <w:r>
        <w:t xml:space="preserve"> </w:t>
      </w:r>
      <w:r>
        <w:t xml:space="preserve">a cadeia</w:t>
      </w:r>
      <w:r>
        <w:t xml:space="preserve"> </w:t>
      </w:r>
      <w:r>
        <w:rPr>
          <w:rStyle w:val="VerbatimChar"/>
        </w:rPr>
        <w:t xml:space="preserve">Requisito → Gap → Risco → Ação</w:t>
      </w:r>
      <w:r>
        <w:t xml:space="preserve"> </w:t>
      </w:r>
      <w:r>
        <w:t xml:space="preserve">é inviolável. Risco sem</w:t>
      </w:r>
      <w:r>
        <w:t xml:space="preserve"> </w:t>
      </w:r>
      <w:r>
        <w:rPr>
          <w:rStyle w:val="VerbatimChar"/>
        </w:rPr>
        <w:t xml:space="preserve">gap_id</w:t>
      </w:r>
      <w:r>
        <w:t xml:space="preserve"> </w:t>
      </w:r>
      <w:r>
        <w:t xml:space="preserve">não existe. Ação sem</w:t>
      </w:r>
      <w:r>
        <w:t xml:space="preserve"> </w:t>
      </w:r>
      <w:r>
        <w:rPr>
          <w:rStyle w:val="VerbatimChar"/>
        </w:rPr>
        <w:t xml:space="preserve">risk_id</w:t>
      </w:r>
      <w:r>
        <w:t xml:space="preserve"> </w:t>
      </w:r>
      <w:r>
        <w:t xml:space="preserve">não existe.</w:t>
      </w:r>
    </w:p>
    <w:p>
      <w:pPr>
        <w:pStyle w:val="BodyText"/>
      </w:pPr>
      <w:r>
        <w:rPr>
          <w:bCs/>
          <w:b/>
        </w:rPr>
        <w:t xml:space="preserve">Regra 4 — Anti-alucinação:</w:t>
      </w:r>
      <w:r>
        <w:t xml:space="preserve"> </w:t>
      </w:r>
      <w:r>
        <w:t xml:space="preserve">o LLM não cria conhecimento novo. Ele apenas transforma conhecimento validado via RAG. Toda afirmação deve ter base normativa verificável no corpus.</w:t>
      </w:r>
    </w:p>
    <w:p>
      <w:pPr>
        <w:pStyle w:val="BodyText"/>
      </w:pPr>
      <w:r>
        <w:rPr>
          <w:bCs/>
          <w:b/>
        </w:rPr>
        <w:t xml:space="preserve">Regra 5 — CNAE condicionado:</w:t>
      </w:r>
      <w:r>
        <w:t xml:space="preserve"> </w:t>
      </w:r>
      <w:r>
        <w:t xml:space="preserve">CNAE sem requisito aplicável no corpus RAG não gera questionário. O sistema registra o CNAE como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com motivo</w:t>
      </w:r>
      <w:r>
        <w:t xml:space="preserve"> </w:t>
      </w:r>
      <w:r>
        <w:rPr>
          <w:rStyle w:val="VerbatimChar"/>
        </w:rPr>
        <w:t xml:space="preserve">no_applicable_requirements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e0463b71f1acfd4f08265a354151d70357119e"/>
    <w:p>
      <w:pPr>
        <w:pStyle w:val="Heading2"/>
      </w:pPr>
      <w:r>
        <w:t xml:space="preserve">Ajustes obrigatórios do Orquestrador (incorporados em 2026-03-24)</w:t>
      </w:r>
    </w:p>
    <w:p>
      <w:pPr>
        <w:pStyle w:val="FirstParagraph"/>
      </w:pPr>
      <w:r>
        <w:t xml:space="preserve">O Orquestrador aprovou o B1 com 3 ajustes obrigatórios que devem ser incorporados antes do início de B2. Os ajustes foram incorporados neste ADR e refletidos nas Matrizes Canônica e de Rastreabilidade.</w:t>
      </w:r>
    </w:p>
    <w:bookmarkStart w:id="26" w:name="Xfe8a59ddb6d387a4be0a0f7d796f453551c40ff"/>
    <w:p>
      <w:pPr>
        <w:pStyle w:val="Heading3"/>
      </w:pPr>
      <w:r>
        <w:t xml:space="preserve">Ajuste 1 — Coverage Engine: fórmula corrigida</w:t>
      </w:r>
    </w:p>
    <w:p>
      <w:pPr>
        <w:pStyle w:val="FirstParagraph"/>
      </w:pPr>
      <w:r>
        <w:t xml:space="preserve">A fórmula original</w:t>
      </w:r>
      <w:r>
        <w:t xml:space="preserve"> </w:t>
      </w:r>
      <w:r>
        <w:rPr>
          <w:rStyle w:val="VerbatimChar"/>
        </w:rPr>
        <w:t xml:space="preserve">coverage = gaps_classificados / requisitos_aplicáveis</w:t>
      </w:r>
      <w:r>
        <w:t xml:space="preserve"> </w:t>
      </w:r>
      <w:r>
        <w:t xml:space="preserve">foi considerada insuficiente porque contabilizava gaps classificados mesmo quando a pergunta era de baixa qualidade ou a evidência era insuficiente.</w:t>
      </w:r>
    </w:p>
    <w:p>
      <w:pPr>
        <w:pStyle w:val="BodyText"/>
      </w:pPr>
      <w:r>
        <w:t xml:space="preserve">A fórmula corrigida é:</w:t>
      </w:r>
    </w:p>
    <w:p>
      <w:pPr>
        <w:pStyle w:val="SourceCode"/>
      </w:pPr>
      <w:r>
        <w:rPr>
          <w:rStyle w:val="VerbatimChar"/>
        </w:rPr>
        <w:t xml:space="preserve">coverage =</w:t>
      </w:r>
      <w:r>
        <w:br/>
      </w:r>
      <w:r>
        <w:rPr>
          <w:rStyle w:val="VerbatimChar"/>
        </w:rPr>
        <w:t xml:space="preserve">  (requisitos com pergunta válida</w:t>
      </w:r>
      <w:r>
        <w:br/>
      </w:r>
      <w:r>
        <w:rPr>
          <w:rStyle w:val="VerbatimChar"/>
        </w:rPr>
        <w:t xml:space="preserve">   + resposta válida</w:t>
      </w:r>
      <w:r>
        <w:br/>
      </w:r>
      <w:r>
        <w:rPr>
          <w:rStyle w:val="VerbatimChar"/>
        </w:rPr>
        <w:t xml:space="preserve">   + gap classificado</w:t>
      </w:r>
      <w:r>
        <w:br/>
      </w:r>
      <w:r>
        <w:rPr>
          <w:rStyle w:val="VerbatimChar"/>
        </w:rPr>
        <w:t xml:space="preserve">   + evidência suficiente)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(requisitos aplicáveis)</w:t>
      </w:r>
    </w:p>
    <w:p>
      <w:pPr>
        <w:pStyle w:val="FirstParagraph"/>
      </w:pPr>
      <w:r>
        <w:t xml:space="preserve">Um requisito só conta como coberto quando</w:t>
      </w:r>
      <w:r>
        <w:t xml:space="preserve"> </w:t>
      </w:r>
      <w:r>
        <w:rPr>
          <w:bCs/>
          <w:b/>
        </w:rPr>
        <w:t xml:space="preserve">todos os 4 critérios</w:t>
      </w:r>
      <w:r>
        <w:t xml:space="preserve"> </w:t>
      </w:r>
      <w:r>
        <w:t xml:space="preserve">são satisfeitos simultaneamente: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question.score &gt;= threshold</w:t>
            </w:r>
            <w:r>
              <w:t xml:space="preserve"> </w:t>
            </w:r>
            <w:r>
              <w:t xml:space="preserve">(padrão: 3.5/5.0)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answer.answer_value</w:t>
            </w:r>
            <w:r>
              <w:t xml:space="preserve"> </w:t>
            </w:r>
            <w:r>
              <w:t xml:space="preserve">não nulo e não vazio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classificado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gap.gap_status</w:t>
            </w:r>
            <w:r>
              <w:t xml:space="preserve"> </w:t>
            </w:r>
            <w:r>
              <w:t xml:space="preserve">∈ {atende, nao_atende, parcial, evidencia_insuficiente, nao_aplicavel}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 suficiente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gap.gap_status ≠ evidencia_insuficiente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gap.evidence</w:t>
            </w:r>
            <w:r>
              <w:t xml:space="preserve"> </w:t>
            </w:r>
            <w:r>
              <w:t xml:space="preserve">não vazio com justificativa</w:t>
            </w:r>
          </w:p>
        </w:tc>
      </w:tr>
    </w:tbl>
    <w:p>
      <w:pPr>
        <w:pStyle w:val="BodyText"/>
      </w:pPr>
      <w:r>
        <w:rPr>
          <w:bCs/>
          <w:b/>
        </w:rPr>
        <w:t xml:space="preserve">Diretriz do Orquestrador: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Cobertura sem qualidade não é cobertura. 100% coverage só é válido quando a avaliação é confiável.</w:t>
      </w:r>
      <w:r>
        <w:rPr>
          <w:iCs/>
          <w:i/>
        </w:rPr>
        <w:t xml:space="preserve">”</w:t>
      </w:r>
    </w:p>
    <w:bookmarkEnd w:id="26"/>
    <w:bookmarkStart w:id="27" w:name="X058c3f006584ad3e345094be36278471c0b9846"/>
    <w:p>
      <w:pPr>
        <w:pStyle w:val="Heading3"/>
      </w:pPr>
      <w:r>
        <w:t xml:space="preserve">Ajuste 2 — Question Quality Gate: requisito permanece pendente</w:t>
      </w:r>
    </w:p>
    <w:p>
      <w:pPr>
        <w:pStyle w:val="FirstParagraph"/>
      </w:pPr>
      <w:r>
        <w:t xml:space="preserve">O comportamento original descartava perguntas com</w:t>
      </w:r>
      <w:r>
        <w:t xml:space="preserve"> </w:t>
      </w:r>
      <w:r>
        <w:rPr>
          <w:rStyle w:val="VerbatimChar"/>
        </w:rPr>
        <w:t xml:space="preserve">score &lt; threshold</w:t>
      </w:r>
      <w:r>
        <w:t xml:space="preserve"> </w:t>
      </w:r>
      <w:r>
        <w:t xml:space="preserve">sem mecanismo de recuperação, deixando o requisito associado sem cobertura silenciosamente.</w:t>
      </w:r>
    </w:p>
    <w:p>
      <w:pPr>
        <w:pStyle w:val="BodyText"/>
      </w:pPr>
      <w:r>
        <w:t xml:space="preserve">O comportamento corrigido é:</w:t>
      </w:r>
    </w:p>
    <w:p>
      <w:pPr>
        <w:numPr>
          <w:ilvl w:val="0"/>
          <w:numId w:val="1001"/>
        </w:numPr>
        <w:pStyle w:val="Compact"/>
      </w:pPr>
      <w:r>
        <w:t xml:space="preserve">Pergunta com</w:t>
      </w:r>
      <w:r>
        <w:t xml:space="preserve"> </w:t>
      </w:r>
      <w:r>
        <w:rPr>
          <w:rStyle w:val="VerbatimChar"/>
        </w:rPr>
        <w:t xml:space="preserve">score &lt; threshold</w:t>
      </w:r>
      <w:r>
        <w:t xml:space="preserve"> </w:t>
      </w:r>
      <w:r>
        <w:t xml:space="preserve">→ descartada (não incluída no questionário)</w:t>
      </w:r>
    </w:p>
    <w:p>
      <w:pPr>
        <w:numPr>
          <w:ilvl w:val="0"/>
          <w:numId w:val="1001"/>
        </w:numPr>
        <w:pStyle w:val="Compact"/>
      </w:pPr>
      <w:r>
        <w:t xml:space="preserve">O requisito associado permanece com status</w:t>
      </w:r>
      <w:r>
        <w:t xml:space="preserve"> </w:t>
      </w:r>
      <w:r>
        <w:rPr>
          <w:rStyle w:val="VerbatimChar"/>
        </w:rPr>
        <w:t xml:space="preserve">pending_valid_question</w:t>
      </w:r>
    </w:p>
    <w:p>
      <w:pPr>
        <w:numPr>
          <w:ilvl w:val="0"/>
          <w:numId w:val="1001"/>
        </w:numPr>
        <w:pStyle w:val="Compact"/>
      </w:pPr>
      <w:r>
        <w:t xml:space="preserve">O sistema tenta reformular a pergunta com prompt alternativo (até 2 tentativas)</w:t>
      </w:r>
    </w:p>
    <w:p>
      <w:pPr>
        <w:numPr>
          <w:ilvl w:val="0"/>
          <w:numId w:val="1001"/>
        </w:numPr>
        <w:pStyle w:val="Compact"/>
      </w:pPr>
      <w:r>
        <w:t xml:space="preserve">Se após 2 tentativas nenhuma pergunta válida for gerada → requisito marcado como</w:t>
      </w:r>
      <w:r>
        <w:t xml:space="preserve"> </w:t>
      </w:r>
      <w:r>
        <w:rPr>
          <w:rStyle w:val="VerbatimChar"/>
        </w:rPr>
        <w:t xml:space="preserve">no_valid_question_generated</w:t>
      </w:r>
      <w:r>
        <w:t xml:space="preserve">, registrado no coverage report como lacuna</w:t>
      </w:r>
    </w:p>
    <w:p>
      <w:pPr>
        <w:numPr>
          <w:ilvl w:val="0"/>
          <w:numId w:val="1001"/>
        </w:numPr>
        <w:pStyle w:val="Compact"/>
      </w:pPr>
      <w:r>
        <w:t xml:space="preserve">O coverage report alerta o usuário sobre os requisitos sem pergunta válida antes de prosseguir</w:t>
      </w:r>
    </w:p>
    <w:p>
      <w:pPr>
        <w:pStyle w:val="FirstParagraph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o coverage gate bloqueia o briefing não apenas quando há requisitos sem resposta, mas também quando há requisitos sem pergunta válida gerada.</w:t>
      </w:r>
    </w:p>
    <w:bookmarkEnd w:id="27"/>
    <w:bookmarkStart w:id="28" w:name="Xd685add4b99e0c37e59d3e864c2e58a01fb7d13"/>
    <w:p>
      <w:pPr>
        <w:pStyle w:val="Heading3"/>
      </w:pPr>
      <w:r>
        <w:t xml:space="preserve">Ajuste 3 — evaluation_confidence no Gap (recomendado)</w:t>
      </w:r>
    </w:p>
    <w:p>
      <w:pPr>
        <w:pStyle w:val="FirstParagraph"/>
      </w:pPr>
      <w:r>
        <w:t xml:space="preserve">Adicionar o campo</w:t>
      </w:r>
      <w:r>
        <w:t xml:space="preserve"> </w:t>
      </w:r>
      <w:r>
        <w:rPr>
          <w:rStyle w:val="VerbatimChar"/>
        </w:rPr>
        <w:t xml:space="preserve">evaluation_confidence</w:t>
      </w:r>
      <w:r>
        <w:t xml:space="preserve"> </w:t>
      </w:r>
      <w:r>
        <w:t xml:space="preserve">ao schema do Gap para registrar a confiança da classificação de conformidade, não apenas a confiança da pergunta: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Gap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campos existentes ...</w:t>
      </w:r>
      <w:r>
        <w:br/>
      </w:r>
      <w:r>
        <w:rPr>
          <w:rStyle w:val="NormalTok"/>
        </w:rPr>
        <w:t xml:space="preserve">  evaluation_confidence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evaluation_confidence_reason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obrigatório quando "low"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Regras de derivação do</w:t>
      </w:r>
      <w:r>
        <w:t xml:space="preserve"> </w:t>
      </w:r>
      <w:r>
        <w:rPr>
          <w:rStyle w:val="VerbatimChar"/>
        </w:rPr>
        <w:t xml:space="preserve">evaluation_confidence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00"/>
        <w:gridCol w:w="5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evaluation_confidence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classification_method === "deterministic"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 </w:t>
            </w:r>
            <w:r>
              <w:t xml:space="preserve">não 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"high"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classification_method === "llm_assisted"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 </w:t>
            </w:r>
            <w:r>
              <w:t xml:space="preserve">não 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"medium"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gap_status === "evidencia_insuficiente"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"low"</w:t>
            </w:r>
            <w:r>
              <w:t xml:space="preserve"> </w:t>
            </w:r>
            <w:r>
              <w:t xml:space="preserve">(sempre)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</w:t>
            </w:r>
            <w:r>
              <w:t xml:space="preserve"> </w:t>
            </w:r>
            <w:r>
              <w:t xml:space="preserve">vazio ou muito curto (&lt; 20 chars)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"low"</w:t>
            </w:r>
          </w:p>
        </w:tc>
      </w:tr>
    </w:tbl>
    <w:p>
      <w:pPr>
        <w:pStyle w:val="BodyTex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evaluation_confidence</w:t>
      </w:r>
      <w:r>
        <w:t xml:space="preserve"> </w:t>
      </w:r>
      <w:r>
        <w:t xml:space="preserve">é usado pelo Coverage Engine para calcular o coverage ponderado por confiança e pelo Risk Engine para ajustar o</w:t>
      </w:r>
      <w:r>
        <w:t xml:space="preserve"> </w:t>
      </w:r>
      <w:r>
        <w:rPr>
          <w:rStyle w:val="VerbatimChar"/>
        </w:rPr>
        <w:t xml:space="preserve">ia_adjustment</w:t>
      </w:r>
      <w:r>
        <w:t xml:space="preserve"> </w:t>
      </w:r>
      <w:r>
        <w:t xml:space="preserve">dos riscos derivados de gaps de baixa confiança.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lternativas-consideradas"/>
    <w:p>
      <w:pPr>
        <w:pStyle w:val="Heading2"/>
      </w:pPr>
      <w:r>
        <w:t xml:space="preserve">Alternativas consideradas</w:t>
      </w:r>
    </w:p>
    <w:p>
      <w:pPr>
        <w:pStyle w:val="FirstParagraph"/>
      </w:pPr>
      <w:r>
        <w:rPr>
          <w:bCs/>
          <w:b/>
        </w:rPr>
        <w:t xml:space="preserve">Alternativa A — Melhorar os prompts existentes sem reestruturar a arquitetura.</w:t>
      </w:r>
      <w:r>
        <w:t xml:space="preserve"> </w:t>
      </w:r>
      <w:r>
        <w:t xml:space="preserve">Descartada porque o problema não é de qualidade de prompt, mas de ausência de estrutura de dados formal entre as etapas. Prompts melhores sobre uma arquitetura sem contrato formal produzirão outputs melhores, mas não rastreáveis e não auditáveis.</w:t>
      </w:r>
    </w:p>
    <w:p>
      <w:pPr>
        <w:pStyle w:val="BodyText"/>
      </w:pPr>
      <w:r>
        <w:rPr>
          <w:bCs/>
          <w:b/>
        </w:rPr>
        <w:t xml:space="preserve">Alternativa B — Usar um único prompt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mega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 gera tudo de uma vez (briefing + matriz + plano).</w:t>
      </w:r>
      <w:r>
        <w:t xml:space="preserve"> </w:t>
      </w:r>
      <w:r>
        <w:t xml:space="preserve">Descartada porque viola a Regra 4 (anti-alucinação) e impossibilita a rastreabilidade. Um único prompt não pode garantir que 100% dos requisitos aplicáveis foram avaliados.</w:t>
      </w:r>
    </w:p>
    <w:p>
      <w:pPr>
        <w:pStyle w:val="BodyText"/>
      </w:pPr>
      <w:r>
        <w:rPr>
          <w:bCs/>
          <w:b/>
        </w:rPr>
        <w:t xml:space="preserve">Alternativa C — Implementar apenas o Gap Engine e o Risk Engine, mantendo o resto.</w:t>
      </w:r>
      <w:r>
        <w:t xml:space="preserve"> </w:t>
      </w:r>
      <w:r>
        <w:t xml:space="preserve">Descartada porque sem o Requirement Engine e o Coverage Engine, o Gap Engine não tem base formal de requisitos para classificar. A arquitetura é sistêmica — cada engine depende da anterior.</w:t>
      </w:r>
    </w:p>
    <w:p>
      <w:r>
        <w:pict>
          <v:rect style="width:0;height:1.5pt" o:hralign="center" o:hrstd="t" o:hr="t"/>
        </w:pict>
      </w:r>
    </w:p>
    <w:bookmarkEnd w:id="30"/>
    <w:bookmarkStart w:id="31" w:name="consequências"/>
    <w:p>
      <w:pPr>
        <w:pStyle w:val="Heading2"/>
      </w:pPr>
      <w:r>
        <w:t xml:space="preserve">Consequências</w:t>
      </w:r>
    </w:p>
    <w:p>
      <w:pPr>
        <w:pStyle w:val="FirstParagraph"/>
      </w:pPr>
      <w:r>
        <w:rPr>
          <w:bCs/>
          <w:b/>
        </w:rPr>
        <w:t xml:space="preserve">Positivas:</w:t>
      </w:r>
      <w:r>
        <w:t xml:space="preserve"> </w:t>
      </w:r>
      <w:r>
        <w:t xml:space="preserve">- Rastreabilidade completa de cada output até o requisito normativo de origem</w:t>
      </w:r>
      <w:r>
        <w:t xml:space="preserve"> </w:t>
      </w:r>
      <w:r>
        <w:t xml:space="preserve">- Coverage regulatório verificável e auditável</w:t>
      </w:r>
      <w:r>
        <w:t xml:space="preserve"> </w:t>
      </w:r>
      <w:r>
        <w:t xml:space="preserve">- Eliminação de alucinações por grounding obrigatório no RAG</w:t>
      </w:r>
      <w:r>
        <w:t xml:space="preserve"> </w:t>
      </w:r>
      <w:r>
        <w:t xml:space="preserve">- Matriz de riscos defensável em auditoria fiscal</w:t>
      </w:r>
      <w:r>
        <w:t xml:space="preserve"> </w:t>
      </w:r>
      <w:r>
        <w:t xml:space="preserve">- Plano de ação executável com prazo e responsável definidos</w:t>
      </w:r>
    </w:p>
    <w:p>
      <w:pPr>
        <w:pStyle w:val="BodyText"/>
      </w:pPr>
      <w:r>
        <w:rPr>
          <w:bCs/>
          <w:b/>
        </w:rPr>
        <w:t xml:space="preserve">Negativas / trade-offs:</w:t>
      </w:r>
      <w:r>
        <w:t xml:space="preserve"> </w:t>
      </w:r>
      <w:r>
        <w:t xml:space="preserve">- Aumento de latência por múltiplas chamadas ao LLM (estimado: +8-15s por projeto)</w:t>
      </w:r>
      <w:r>
        <w:t xml:space="preserve"> </w:t>
      </w:r>
      <w:r>
        <w:t xml:space="preserve">- Necessidade de corpus RAG atualizado e bem indexado para cada legislação</w:t>
      </w:r>
      <w:r>
        <w:t xml:space="preserve"> </w:t>
      </w:r>
      <w:r>
        <w:t xml:space="preserve">- Complexidade de implementação maior (6 engines vs. 1 prompt)</w:t>
      </w:r>
    </w:p>
    <w:p>
      <w:pPr>
        <w:pStyle w:val="BodyText"/>
      </w:pPr>
      <w:r>
        <w:rPr>
          <w:bCs/>
          <w:b/>
        </w:rPr>
        <w:t xml:space="preserve">Mitigações:</w:t>
      </w:r>
      <w:r>
        <w:t xml:space="preserve"> </w:t>
      </w:r>
      <w:r>
        <w:t xml:space="preserve">- Cache de requisitos por perfil de empresa (CNAE + porte + regime) para reduzir latência</w:t>
      </w:r>
      <w:r>
        <w:t xml:space="preserve"> </w:t>
      </w:r>
      <w:r>
        <w:t xml:space="preserve">- Pipeline assíncrono com streaming de resultados parciais para o frontend</w:t>
      </w:r>
      <w:r>
        <w:t xml:space="preserve"> </w:t>
      </w:r>
      <w:r>
        <w:t xml:space="preserve">- Corpus RAG versionado com data de última atualização visível no briefing</w:t>
      </w:r>
    </w:p>
    <w:p>
      <w:r>
        <w:pict>
          <v:rect style="width:0;height:1.5pt" o:hralign="center" o:hrstd="t" o:hr="t"/>
        </w:pict>
      </w:r>
    </w:p>
    <w:bookmarkEnd w:id="31"/>
    <w:bookmarkStart w:id="32" w:name="critérios-de-sucesso"/>
    <w:p>
      <w:pPr>
        <w:pStyle w:val="Heading2"/>
      </w:pPr>
      <w:r>
        <w:t xml:space="preserve">Critérios de sucesso</w:t>
      </w:r>
    </w:p>
    <w:p>
      <w:pPr>
        <w:pStyle w:val="FirstParagraph"/>
      </w:pPr>
      <w:r>
        <w:t xml:space="preserve">A implementação desta arquitetura será considerada bem-sucedida quando: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1900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Score semântico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/admin/confidence-score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regulatório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Engine + Shadow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Perguntas com fonte 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do Question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Riscos com gap de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do Risk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Ações com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do Action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 UAT advogados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de feedback UAT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referências"/>
    <w:p>
      <w:pPr>
        <w:pStyle w:val="Heading2"/>
      </w:pPr>
      <w:r>
        <w:t xml:space="preserve">Referências</w:t>
      </w:r>
    </w:p>
    <w:p>
      <w:pPr>
        <w:numPr>
          <w:ilvl w:val="0"/>
          <w:numId w:val="1002"/>
        </w:numPr>
        <w:pStyle w:val="Compact"/>
      </w:pPr>
      <w:hyperlink r:id="rId33">
        <w:r>
          <w:rPr>
            <w:rStyle w:val="Hyperlink"/>
          </w:rPr>
          <w:t xml:space="preserve">Tabela de Melhorias Técnicas HOW v1</w:t>
        </w:r>
      </w:hyperlink>
    </w:p>
    <w:p>
      <w:pPr>
        <w:numPr>
          <w:ilvl w:val="0"/>
          <w:numId w:val="1002"/>
        </w:numPr>
        <w:pStyle w:val="Compact"/>
      </w:pPr>
      <w:hyperlink r:id="rId34">
        <w:r>
          <w:rPr>
            <w:rStyle w:val="Hyperlink"/>
          </w:rPr>
          <w:t xml:space="preserve">Requisitos Funcionais v6.0</w:t>
        </w:r>
      </w:hyperlink>
    </w:p>
    <w:p>
      <w:pPr>
        <w:numPr>
          <w:ilvl w:val="0"/>
          <w:numId w:val="1002"/>
        </w:numPr>
        <w:pStyle w:val="Compact"/>
      </w:pPr>
      <w:hyperlink r:id="rId35">
        <w:r>
          <w:rPr>
            <w:rStyle w:val="Hyperlink"/>
          </w:rPr>
          <w:t xml:space="preserve">ADR-005 — Diagnóstico Dual V1/V3</w:t>
        </w:r>
      </w:hyperlink>
    </w:p>
    <w:p>
      <w:pPr>
        <w:numPr>
          <w:ilvl w:val="0"/>
          <w:numId w:val="1002"/>
        </w:numPr>
        <w:pStyle w:val="Compact"/>
      </w:pPr>
      <w:hyperlink r:id="rId36">
        <w:r>
          <w:rPr>
            <w:rStyle w:val="Hyperlink"/>
          </w:rPr>
          <w:t xml:space="preserve">ADR-007 — Gate de Retrocesso</w:t>
        </w:r>
      </w:hyperlink>
    </w:p>
    <w:p>
      <w:pPr>
        <w:numPr>
          <w:ilvl w:val="0"/>
          <w:numId w:val="1002"/>
        </w:numPr>
        <w:pStyle w:val="Compact"/>
      </w:pPr>
      <w:hyperlink r:id="rId37">
        <w:r>
          <w:rPr>
            <w:rStyle w:val="Hyperlink"/>
          </w:rPr>
          <w:t xml:space="preserve">ADR-008 — Estratégia de Migração Schema</w:t>
        </w:r>
      </w:hyperlink>
    </w:p>
    <w:p>
      <w:pPr>
        <w:numPr>
          <w:ilvl w:val="0"/>
          <w:numId w:val="1002"/>
        </w:numPr>
        <w:pStyle w:val="Compact"/>
      </w:pPr>
      <w:hyperlink r:id="rId20">
        <w:r>
          <w:rPr>
            <w:rStyle w:val="Hyperlink"/>
          </w:rPr>
          <w:t xml:space="preserve">Issue #63 — ADR-010</w:t>
        </w:r>
      </w:hyperlink>
    </w:p>
    <w:p>
      <w:pPr>
        <w:numPr>
          <w:ilvl w:val="0"/>
          <w:numId w:val="1002"/>
        </w:numPr>
        <w:pStyle w:val="Compact"/>
      </w:pPr>
      <w:hyperlink r:id="rId21">
        <w:r>
          <w:rPr>
            <w:rStyle w:val="Hyperlink"/>
          </w:rPr>
          <w:t xml:space="preserve">Milestone Sprint-98-Confidence</w:t>
        </w:r>
      </w:hyperlink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../product/cpie-v2/produto/REQUISITOS-FUNCIONAIS-v6.md" TargetMode="External" /><Relationship Type="http://schemas.openxmlformats.org/officeDocument/2006/relationships/hyperlink" Id="rId33" Target="../product/cpie-v2/produto/TABELA-MELHORIAS-TECNICAS-HOW-v1.md" TargetMode="External" /><Relationship Type="http://schemas.openxmlformats.org/officeDocument/2006/relationships/hyperlink" Id="rId35" Target="ADR-005-diagnostico-dual-v1-v3.md" TargetMode="External" /><Relationship Type="http://schemas.openxmlformats.org/officeDocument/2006/relationships/hyperlink" Id="rId36" Target="ADR-007-gate-retrocesso.md" TargetMode="External" /><Relationship Type="http://schemas.openxmlformats.org/officeDocument/2006/relationships/hyperlink" Id="rId37" Target="ADR-008-migracao-schema.md" TargetMode="External" /><Relationship Type="http://schemas.openxmlformats.org/officeDocument/2006/relationships/hyperlink" Id="rId20" Target="https://github.com/Solaris-Empresa/compliance-tributaria-v2/issues/63" TargetMode="External" /><Relationship Type="http://schemas.openxmlformats.org/officeDocument/2006/relationships/hyperlink" Id="rId21" Target="https://github.com/Solaris-Empresa/compliance-tributaria-v2/milestone/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product/cpie-v2/produto/REQUISITOS-FUNCIONAIS-v6.md" TargetMode="External" /><Relationship Type="http://schemas.openxmlformats.org/officeDocument/2006/relationships/hyperlink" Id="rId33" Target="../product/cpie-v2/produto/TABELA-MELHORIAS-TECNICAS-HOW-v1.md" TargetMode="External" /><Relationship Type="http://schemas.openxmlformats.org/officeDocument/2006/relationships/hyperlink" Id="rId35" Target="ADR-005-diagnostico-dual-v1-v3.md" TargetMode="External" /><Relationship Type="http://schemas.openxmlformats.org/officeDocument/2006/relationships/hyperlink" Id="rId36" Target="ADR-007-gate-retrocesso.md" TargetMode="External" /><Relationship Type="http://schemas.openxmlformats.org/officeDocument/2006/relationships/hyperlink" Id="rId37" Target="ADR-008-migracao-schema.md" TargetMode="External" /><Relationship Type="http://schemas.openxmlformats.org/officeDocument/2006/relationships/hyperlink" Id="rId20" Target="https://github.com/Solaris-Empresa/compliance-tributaria-v2/issues/63" TargetMode="External" /><Relationship Type="http://schemas.openxmlformats.org/officeDocument/2006/relationships/hyperlink" Id="rId21" Target="https://github.com/Solaris-Empresa/compliance-tributaria-v2/milestone/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2026-03-24T01:55:06Z</dcterms:created>
  <dcterms:modified xsi:type="dcterms:W3CDTF">2026-03-24T01:55:06Z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