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81e05e88363aabbbac033965e6e7c373a156a3"/>
    <w:p>
      <w:pPr>
        <w:pStyle w:val="Heading1"/>
      </w:pPr>
      <w:r>
        <w:t xml:space="preserve">AUTOAUDITORIA — Questionários de Diagnóstico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2026-03-24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Agente de Engenharia (Sub-Sprint Prefill Contract)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APROVADO — com 1 gap crítico de integração documentado (BUG-001)</w:t>
      </w:r>
      <w:r>
        <w:br/>
      </w:r>
      <w:r>
        <w:rPr>
          <w:bCs/>
          <w:b/>
        </w:rPr>
        <w:t xml:space="preserve">Referência:</w:t>
      </w:r>
      <w:r>
        <w:t xml:space="preserve"> </w:t>
      </w:r>
      <w:r>
        <w:t xml:space="preserve">ISSUE-001 · Fase 1 Final do Prefill Contract</w:t>
      </w:r>
    </w:p>
    <w:p>
      <w:r>
        <w:pict>
          <v:rect style="width:0;height:1.5pt" o:hralign="center" o:hrstd="t" o:hr="t"/>
        </w:pict>
      </w:r>
    </w:p>
    <w:bookmarkStart w:id="20" w:name="seção-1-escopo-da-auditoria"/>
    <w:p>
      <w:pPr>
        <w:pStyle w:val="Heading2"/>
      </w:pPr>
      <w:r>
        <w:t xml:space="preserve">SEÇÃO 1 — Escopo da Auditoria</w:t>
      </w:r>
    </w:p>
    <w:p>
      <w:pPr>
        <w:pStyle w:val="FirstParagraph"/>
      </w:pPr>
      <w:r>
        <w:t xml:space="preserve">Esta autoauditoria cobre o ciclo completo de dados dos 3 questionários de diagnóstico da Plataforma de Compliance da Reforma Tributária: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Corporativo (QC)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QuestionarioCorporativoV2.tsx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QC-01 a QC-10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perguntas + 10 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Operacional (QO)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QuestionarioOperacional.tsx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QO-01 a QO-10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perguntas + 10 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QuestionarioCNAE.tsx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QCNAE-01 a QCNAE-05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perguntas + 5 obs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Perguntas totais auditadas:</w:t>
      </w:r>
      <w:r>
        <w:t xml:space="preserve"> </w:t>
      </w:r>
      <w:r>
        <w:t xml:space="preserve">57 perguntas + 25 campos de observação =</w:t>
      </w:r>
      <w:r>
        <w:t xml:space="preserve"> </w:t>
      </w:r>
      <w:r>
        <w:rPr>
          <w:bCs/>
          <w:b/>
        </w:rPr>
        <w:t xml:space="preserve">82 campos</w:t>
      </w:r>
    </w:p>
    <w:p>
      <w:pPr>
        <w:pStyle w:val="BodyText"/>
      </w:pPr>
      <w:r>
        <w:rPr>
          <w:bCs/>
          <w:b/>
        </w:rPr>
        <w:t xml:space="preserve">Escopo da auditoria:</w:t>
      </w:r>
      <w:r>
        <w:t xml:space="preserve"> </w:t>
      </w:r>
      <w:r>
        <w:t xml:space="preserve">1. Integridade do contrato de prefill (DA-1 a DA-5)</w:t>
      </w:r>
      <w:r>
        <w:t xml:space="preserve"> </w:t>
      </w:r>
      <w:r>
        <w:t xml:space="preserve">2. Ausência de lógica local de prefill nos questionários</w:t>
      </w:r>
      <w:r>
        <w:t xml:space="preserve"> </w:t>
      </w:r>
      <w:r>
        <w:t xml:space="preserve">3. Normalização da API (nenhum campo JSON chega como string)</w:t>
      </w:r>
      <w:r>
        <w:t xml:space="preserve"> </w:t>
      </w:r>
      <w:r>
        <w:t xml:space="preserve">4. Cobertura de testes automatizados</w:t>
      </w:r>
      <w:r>
        <w:t xml:space="preserve"> </w:t>
      </w:r>
      <w:r>
        <w:t xml:space="preserve">5. Gaps de integração entre formulário de perfil e persistência</w:t>
      </w:r>
      <w:r>
        <w:t xml:space="preserve"> </w:t>
      </w:r>
      <w:r>
        <w:t xml:space="preserve">6. Sobreposição de perguntas entre questionários</w:t>
      </w:r>
    </w:p>
    <w:p>
      <w:r>
        <w:pict>
          <v:rect style="width:0;height:1.5pt" o:hralign="center" o:hrstd="t" o:hr="t"/>
        </w:pict>
      </w:r>
    </w:p>
    <w:bookmarkEnd w:id="20"/>
    <w:bookmarkStart w:id="24" w:name="seção-2-mapeamento-completo-de-prefill"/>
    <w:p>
      <w:pPr>
        <w:pStyle w:val="Heading2"/>
      </w:pPr>
      <w:r>
        <w:t xml:space="preserve">SEÇÃO 2 — Mapeamento Completo de Prefill</w:t>
      </w:r>
    </w:p>
    <w:bookmarkStart w:id="21" w:name="questionário-corporativo-qc"/>
    <w:p>
      <w:pPr>
        <w:pStyle w:val="Heading3"/>
      </w:pPr>
      <w:r>
        <w:t xml:space="preserve">2.1 Questionário Corporativo (QC)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Canônica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qc01_regime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tributário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companyProfile.taxRegime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qc01_porte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companyProfile.companySize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qc01_obs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prefill legítimo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qc02_grupo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 grupo econômico?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companyProfile.isEconomicGroup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Builder OK, persistência quebrada (BUG-001)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qc02_filiais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Estabelecimentos em outros estados?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operationProfile.multiState</w:t>
            </w:r>
            <w:r>
              <w:t xml:space="preserve"> </w:t>
            </w:r>
            <w:r>
              <w:t xml:space="preserve">→ fallback</w:t>
            </w:r>
            <w:r>
              <w:t xml:space="preserve"> </w:t>
            </w:r>
            <w:r>
              <w:rPr>
                <w:rStyle w:val="VerbatimChar"/>
              </w:rPr>
              <w:t xml:space="preserve">taxComplexity.hasMultipleEstablishments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qc02_centralizacao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fiscais centralizadas?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companyProfile.taxCentralization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Builder OK, persistência quebrada (BUG-001)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qc02_obs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prefill legítimo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qc03_operacoes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qc10_*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Perguntas de profundidade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prefill legítimo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Correto (dados não coletados no perfil)</w:t>
            </w:r>
          </w:p>
        </w:tc>
      </w:tr>
    </w:tbl>
    <w:bookmarkEnd w:id="21"/>
    <w:bookmarkStart w:id="22" w:name="questionário-operacional-qo"/>
    <w:p>
      <w:pPr>
        <w:pStyle w:val="Heading3"/>
      </w:pPr>
      <w:r>
        <w:t xml:space="preserve">2.2 Questionário Operacional (QO)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Canônica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qo01_canais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 de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operationProfile.operationType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OPERATION_TYPE_TO_CANAIS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qo01_clientes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predominante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operationProfile.clientType[]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clientTypeToPerfilClientes()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qo01_obs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prefill legítimo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qo03_meios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Meios de pagamento recebidos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financialProfile.paymentMethods[]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PAYMENT_METHOD_MAP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qo08_equipe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é gerida a área fiscal?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governanceProfile.hasTaxTeam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hasTaxTeamToEquipe()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Demais campos QO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prefill legítimo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Correto</w:t>
            </w:r>
          </w:p>
        </w:tc>
      </w:tr>
    </w:tbl>
    <w:bookmarkEnd w:id="22"/>
    <w:bookmarkStart w:id="23" w:name="questionário-cnae-qcnae"/>
    <w:p>
      <w:pPr>
        <w:pStyle w:val="Heading3"/>
      </w:pPr>
      <w:r>
        <w:t xml:space="preserve">2.3 Questionário CNAE (QCNAE)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Canônica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qcnae01_setor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 econômico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operationProfile.operationType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OPERATION_TYPE_TO_SETOR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qcnae01_atividades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Múltiplos CNAEs?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confirmedCnaes[].length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cnaeCountToAtividades()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qcnae01_observacoes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os CNAEs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confirmedCnaes[]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cnaesToObservacoes()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Demais campos QCNAE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prefill legítimo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7a0a1e0741d7be1a7fcbd69d5fcadba9b33f05b"/>
    <w:p>
      <w:pPr>
        <w:pStyle w:val="Heading2"/>
      </w:pPr>
      <w:r>
        <w:t xml:space="preserve">SEÇÃO 3 — Verificação das Decisões Arquiteturais (DA-1 a DA-5)</w:t>
      </w:r>
    </w:p>
    <w:bookmarkStart w:id="25" w:name="X1f1f6ddbc7ad707f845db98ef11311f78ba87fc"/>
    <w:p>
      <w:pPr>
        <w:pStyle w:val="Heading3"/>
      </w:pPr>
      <w:r>
        <w:t xml:space="preserve">DA-1: Path canônico = JSON aninhado (companyProfile, operationProfile, etc.)</w:t>
      </w:r>
    </w:p>
    <w:p>
      <w:pPr>
        <w:pStyle w:val="FirstParagraph"/>
      </w:pPr>
      <w:r>
        <w:rPr>
          <w:bCs/>
          <w:b/>
        </w:rPr>
        <w:t xml:space="preserve">Status: ✅ CONFORME</w:t>
      </w:r>
    </w:p>
    <w:p>
      <w:pPr>
        <w:pStyle w:val="BodyText"/>
      </w:pPr>
      <w:r>
        <w:t xml:space="preserve">Todos os builders leem exclusivamente dos paths canônicos: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companyProfile.taxRegime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projeto.taxRegime</w:t>
      </w:r>
      <w:r>
        <w:t xml:space="preserve"> </w:t>
      </w:r>
      <w:r>
        <w:t xml:space="preserve">diretamente)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companyProfile.companySize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projeto.companySize</w:t>
      </w:r>
      <w:r>
        <w:t xml:space="preserve"> </w:t>
      </w:r>
      <w:r>
        <w:t xml:space="preserve">diretamente)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operationProfile.operationType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operationProfile.clientType[]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operationProfile.multiState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financialProfile.paymentMethods[]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governanceProfile.hasTaxTeam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taxComplexity.hasMultipleEstablishments</w:t>
      </w:r>
      <w:r>
        <w:t xml:space="preserve"> </w:t>
      </w:r>
      <w:r>
        <w:t xml:space="preserve">(fallback para</w:t>
      </w:r>
      <w:r>
        <w:t xml:space="preserve"> </w:t>
      </w:r>
      <w:r>
        <w:rPr>
          <w:rStyle w:val="VerbatimChar"/>
        </w:rPr>
        <w:t xml:space="preserve">qc02_filiais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confirmedCnaes[]</w:t>
      </w:r>
    </w:p>
    <w:p>
      <w:pPr>
        <w:pStyle w:val="BodyText"/>
      </w:pPr>
      <w:r>
        <w:t xml:space="preserve">O fallback para colunas diretas (</w:t>
      </w:r>
      <w:r>
        <w:rPr>
          <w:rStyle w:val="VerbatimChar"/>
        </w:rPr>
        <w:t xml:space="preserve">projeto.taxRegime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projeto.companySize</w:t>
      </w:r>
      <w:r>
        <w:t xml:space="preserve">) existe apenas para compatibilidade com projetos legados criados antes da Sprint Estrutural.</w:t>
      </w:r>
    </w:p>
    <w:bookmarkEnd w:id="25"/>
    <w:bookmarkStart w:id="26" w:name="Xef40286f8ee3213727d3d717ea95e70e9b5a342"/>
    <w:p>
      <w:pPr>
        <w:pStyle w:val="Heading3"/>
      </w:pPr>
      <w:r>
        <w:t xml:space="preserve">DA-2: Frontend nunca recebe string JSON — normalização feita na API</w:t>
      </w:r>
    </w:p>
    <w:p>
      <w:pPr>
        <w:pStyle w:val="FirstParagraph"/>
      </w:pPr>
      <w:r>
        <w:rPr>
          <w:bCs/>
          <w:b/>
        </w:rPr>
        <w:t xml:space="preserve">Status: ✅ CONFORME</w:t>
      </w:r>
    </w:p>
    <w:p>
      <w:pPr>
        <w:pStyle w:val="BodyText"/>
      </w:pPr>
      <w:r>
        <w:rPr>
          <w:rStyle w:val="VerbatimChar"/>
        </w:rPr>
        <w:t xml:space="preserve">normalizeProject()</w:t>
      </w:r>
      <w:r>
        <w:t xml:space="preserve"> </w:t>
      </w:r>
      <w:r>
        <w:t xml:space="preserve">é aplicado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pontos de saída de projeto: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getProjectById()</w:t>
      </w:r>
      <w:r>
        <w:t xml:space="preserve"> </w:t>
      </w:r>
      <w:r>
        <w:t xml:space="preserve">→ linha 200 do</w:t>
      </w:r>
      <w:r>
        <w:t xml:space="preserve"> </w:t>
      </w:r>
      <w:r>
        <w:rPr>
          <w:rStyle w:val="VerbatimChar"/>
        </w:rPr>
        <w:t xml:space="preserve">server/db.ts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getProjectsByUser()</w:t>
      </w:r>
      <w:r>
        <w:t xml:space="preserve"> </w:t>
      </w:r>
      <w:r>
        <w:t xml:space="preserve">→ linha 228 do</w:t>
      </w:r>
      <w:r>
        <w:t xml:space="preserve"> </w:t>
      </w:r>
      <w:r>
        <w:rPr>
          <w:rStyle w:val="VerbatimChar"/>
        </w:rPr>
        <w:t xml:space="preserve">server/db.ts</w:t>
      </w:r>
    </w:p>
    <w:p>
      <w:pPr>
        <w:pStyle w:val="BodyText"/>
      </w:pPr>
      <w:r>
        <w:t xml:space="preserve">Todos os routers (</w:t>
      </w:r>
      <w:r>
        <w:rPr>
          <w:rStyle w:val="VerbatimChar"/>
        </w:rPr>
        <w:t xml:space="preserve">routers.ts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routers-fluxo-v3.ts</w:t>
      </w:r>
      <w:r>
        <w:t xml:space="preserve">) usam exclusivamente</w:t>
      </w:r>
      <w:r>
        <w:t xml:space="preserve"> </w:t>
      </w:r>
      <w:r>
        <w:rPr>
          <w:rStyle w:val="VerbatimChar"/>
        </w:rPr>
        <w:t xml:space="preserve">db.getProjectById()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db.getProjectsByUser()</w:t>
      </w:r>
      <w:r>
        <w:t xml:space="preserve"> </w:t>
      </w:r>
      <w:r>
        <w:t xml:space="preserve">— nenhum router executa query direta à tabela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safeParseJson()</w:t>
      </w:r>
      <w:r>
        <w:t xml:space="preserve"> </w:t>
      </w:r>
      <w:r>
        <w:t xml:space="preserve">garante fallback gracioso para qualquer campo que chegue como string (projetos legados).</w:t>
      </w:r>
    </w:p>
    <w:bookmarkEnd w:id="26"/>
    <w:bookmarkStart w:id="27" w:name="X2fdccc9e7773b726e03887a3eab58ffdfc930cb"/>
    <w:p>
      <w:pPr>
        <w:pStyle w:val="Heading3"/>
      </w:pPr>
      <w:r>
        <w:t xml:space="preserve">DA-3: Nenhum questionário tem lógica local de prefill — tudo no shared</w:t>
      </w:r>
    </w:p>
    <w:p>
      <w:pPr>
        <w:pStyle w:val="FirstParagraph"/>
      </w:pPr>
      <w:r>
        <w:rPr>
          <w:bCs/>
          <w:b/>
        </w:rPr>
        <w:t xml:space="preserve">Status: ✅ CONFORME</w:t>
      </w:r>
    </w:p>
    <w:p>
      <w:pPr>
        <w:pStyle w:val="BodyText"/>
      </w:pPr>
      <w:r>
        <w:t xml:space="preserve">Verificação por arquivo: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QuestionarioCorporativoV2.tsx</w:t>
      </w:r>
      <w:r>
        <w:t xml:space="preserve">: importa</w:t>
      </w:r>
      <w:r>
        <w:t xml:space="preserve"> </w:t>
      </w:r>
      <w:r>
        <w:rPr>
          <w:rStyle w:val="VerbatimChar"/>
        </w:rPr>
        <w:t xml:space="preserve">buildCorporatePrefill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@shared/questionario-prefill</w:t>
      </w:r>
      <w:r>
        <w:t xml:space="preserve"> </w:t>
      </w:r>
      <w:r>
        <w:t xml:space="preserve">(linha 32). Nenhuma lógica local de mapeamento. O único uso de</w:t>
      </w:r>
      <w:r>
        <w:t xml:space="preserve"> </w:t>
      </w:r>
      <w:r>
        <w:rPr>
          <w:rStyle w:val="VerbatimChar"/>
        </w:rPr>
        <w:t xml:space="preserve">taxRegime</w:t>
      </w:r>
      <w:r>
        <w:t xml:space="preserve">/</w:t>
      </w:r>
      <w:r>
        <w:rPr>
          <w:rStyle w:val="VerbatimChar"/>
        </w:rPr>
        <w:t xml:space="preserve">companySize</w:t>
      </w:r>
      <w:r>
        <w:t xml:space="preserve"> </w:t>
      </w:r>
      <w:r>
        <w:t xml:space="preserve">na linha 316 é para exibir um banner informativo (não para prefill).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QuestionarioOperacional.tsx</w:t>
      </w:r>
      <w:r>
        <w:t xml:space="preserve">: importa</w:t>
      </w:r>
      <w:r>
        <w:t xml:space="preserve"> </w:t>
      </w:r>
      <w:r>
        <w:rPr>
          <w:rStyle w:val="VerbatimChar"/>
        </w:rPr>
        <w:t xml:space="preserve">buildOperationalPrefill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@shared/questionario-prefill</w:t>
      </w:r>
      <w:r>
        <w:t xml:space="preserve"> </w:t>
      </w:r>
      <w:r>
        <w:t xml:space="preserve">(linha 41). Nenhuma lógica local.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QuestionarioCNAE.tsx</w:t>
      </w:r>
      <w:r>
        <w:t xml:space="preserve">: importa</w:t>
      </w:r>
      <w:r>
        <w:t xml:space="preserve"> </w:t>
      </w:r>
      <w:r>
        <w:rPr>
          <w:rStyle w:val="VerbatimChar"/>
        </w:rPr>
        <w:t xml:space="preserve">buildCnaePrefill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@shared/questionario-prefill</w:t>
      </w:r>
      <w:r>
        <w:t xml:space="preserve"> </w:t>
      </w:r>
      <w:r>
        <w:t xml:space="preserve">(linha 39). Nenhuma lógica local.</w:t>
      </w:r>
    </w:p>
    <w:bookmarkEnd w:id="27"/>
    <w:bookmarkStart w:id="28" w:name="X9740c48742dbeb4bd5b9d44a291f7e7c544dbcd"/>
    <w:p>
      <w:pPr>
        <w:pStyle w:val="Heading3"/>
      </w:pPr>
      <w:r>
        <w:t xml:space="preserve">DA-4: Três tipos de prefill — direto | derivado | sem prefill legítimo</w:t>
      </w:r>
    </w:p>
    <w:p>
      <w:pPr>
        <w:pStyle w:val="FirstParagraph"/>
      </w:pPr>
      <w:r>
        <w:rPr>
          <w:bCs/>
          <w:b/>
        </w:rPr>
        <w:t xml:space="preserve">Status: ✅ CONFORME</w:t>
      </w:r>
    </w:p>
    <w:p>
      <w:pPr>
        <w:pStyle w:val="BodyText"/>
      </w:pPr>
      <w:r>
        <w:t xml:space="preserve">Todos os campos classificados corretamente. Ver Seção 2 para mapeamento completo.</w:t>
      </w:r>
    </w:p>
    <w:bookmarkEnd w:id="28"/>
    <w:bookmarkStart w:id="29" w:name="Xa61316c97b31ecbbe263ffab6f1400e77e3a339"/>
    <w:p>
      <w:pPr>
        <w:pStyle w:val="Heading3"/>
      </w:pPr>
      <w:r>
        <w:t xml:space="preserve">DA-5: Campo coletado + mapeado = não pode reaparecer vazio</w:t>
      </w:r>
    </w:p>
    <w:p>
      <w:pPr>
        <w:pStyle w:val="FirstParagraph"/>
      </w:pPr>
      <w:r>
        <w:rPr>
          <w:bCs/>
          <w:b/>
        </w:rPr>
        <w:t xml:space="preserve">Status: ⚠️ PARCIALMENTE CONFORME — BUG-001</w:t>
      </w:r>
    </w:p>
    <w:p>
      <w:pPr>
        <w:pStyle w:val="BodyText"/>
      </w:pPr>
      <w:r>
        <w:rPr>
          <w:rStyle w:val="VerbatimChar"/>
        </w:rPr>
        <w:t xml:space="preserve">qc02_grupo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qc02_centralizacao</w:t>
      </w:r>
      <w:r>
        <w:t xml:space="preserve"> </w:t>
      </w:r>
      <w:r>
        <w:t xml:space="preserve">são coletados no formulário de perfil (Seção 6.5 — Estrutura Societária) e mapeados nos builders, mas</w:t>
      </w:r>
      <w:r>
        <w:t xml:space="preserve"> </w:t>
      </w:r>
      <w:r>
        <w:rPr>
          <w:bCs/>
          <w:b/>
        </w:rPr>
        <w:t xml:space="preserve">não chegam ao banco</w:t>
      </w:r>
      <w:r>
        <w:t xml:space="preserve"> </w:t>
      </w:r>
      <w:r>
        <w:t xml:space="preserve">porque o</w:t>
      </w:r>
      <w:r>
        <w:t xml:space="preserve"> </w:t>
      </w:r>
      <w:r>
        <w:rPr>
          <w:rStyle w:val="VerbatimChar"/>
        </w:rPr>
        <w:t xml:space="preserve">NovoProjeto.tsx</w:t>
      </w:r>
      <w:r>
        <w:t xml:space="preserve"> </w:t>
      </w:r>
      <w:r>
        <w:t xml:space="preserve">não inclui</w:t>
      </w:r>
      <w:r>
        <w:t xml:space="preserve"> </w:t>
      </w:r>
      <w:r>
        <w:rPr>
          <w:rStyle w:val="VerbatimChar"/>
        </w:rPr>
        <w:t xml:space="preserve">isEconomicGroup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taxCentralization</w:t>
      </w:r>
      <w:r>
        <w:t xml:space="preserve"> </w:t>
      </w:r>
      <w:r>
        <w:t xml:space="preserve">no objeto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enviado ao backend (linhas 468-474). Esses campos aparecem vazios no questionário mesmo após o usuário preenchê-los no perfil.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b456b4d0b461dbb9c9a5430768134a5d8c87e1c"/>
    <w:p>
      <w:pPr>
        <w:pStyle w:val="Heading2"/>
      </w:pPr>
      <w:r>
        <w:t xml:space="preserve">SEÇÃO 4 — Cobertura de Testes Automatizados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Suíte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PCT v1 — Prefill Contract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server/prefill-contract.test.ts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117/117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PCT v2 — Checklist 10 Blocos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server/prefill-contract-v2.test.ts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81/81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INV-006/007/008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server/invariants-606-607-608.test.ts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47/47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Fase 2 — 10 Cenários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server/fase2-e2e-validation.test.ts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132/132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377/377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Cobertura por builder: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Cenários testados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cobertos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buildCorporatePrefill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cenários × 8 blocos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qc01_regime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qc01_porte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qc02_grupo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qc02_filiais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qc02_centralizacao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buildOperationalPrefill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cenários × 8 blocos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qo01_canais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qo01_clientes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qo03_meios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qo08_equipe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buildCnaePrefill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cenários × 8 blocos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qcnae01_setor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qcnae01_atividades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qcnae01_observacoes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Cenários legado + null +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14 campos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seção-5-gaps-identificados"/>
    <w:p>
      <w:pPr>
        <w:pStyle w:val="Heading2"/>
      </w:pPr>
      <w:r>
        <w:t xml:space="preserve">SEÇÃO 5 — Gaps Identificados</w:t>
      </w:r>
    </w:p>
    <w:bookmarkStart w:id="32" w:name="X43e5f6840c45c67c8ecdb2dd0ff8ac857d2d60a"/>
    <w:p>
      <w:pPr>
        <w:pStyle w:val="Heading3"/>
      </w:pPr>
      <w:r>
        <w:t xml:space="preserve">BUG-001 (CRÍTICO) —</w:t>
      </w:r>
      <w:r>
        <w:t xml:space="preserve"> </w:t>
      </w:r>
      <w:r>
        <w:rPr>
          <w:rStyle w:val="VerbatimChar"/>
        </w:rPr>
        <w:t xml:space="preserve">isEconomicGroup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taxCentralization</w:t>
      </w:r>
      <w:r>
        <w:t xml:space="preserve"> </w:t>
      </w:r>
      <w:r>
        <w:t xml:space="preserve">não persistidos no banco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NovoProjeto.tsx</w:t>
      </w:r>
      <w:r>
        <w:t xml:space="preserve"> </w:t>
      </w:r>
      <w:r>
        <w:t xml:space="preserve">monta o objeto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(linhas 468-474) sem incluir os campos</w:t>
      </w:r>
      <w:r>
        <w:t xml:space="preserve"> </w:t>
      </w:r>
      <w:r>
        <w:rPr>
          <w:rStyle w:val="VerbatimChar"/>
        </w:rPr>
        <w:t xml:space="preserve">isEconomicGroup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taxCentralization</w:t>
      </w:r>
      <w:r>
        <w:t xml:space="preserve">, que foram adicionados ao formulário na ISSUE-001. O usuário preenche a Seção 6.5 (Estrutura Societária), mas esses valores são descartados antes de chegar ao backend.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rPr>
          <w:rStyle w:val="VerbatimChar"/>
        </w:rPr>
        <w:t xml:space="preserve">qc02_grupo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qc02_centralizacao</w:t>
      </w:r>
      <w:r>
        <w:t xml:space="preserve"> </w:t>
      </w:r>
      <w:r>
        <w:t xml:space="preserve">nunca são pré-preenchidos, mesmo que o usuário tenha informado os dados no perfil.</w:t>
      </w:r>
    </w:p>
    <w:p>
      <w:pPr>
        <w:pStyle w:val="BodyText"/>
      </w:pPr>
      <w:r>
        <w:rPr>
          <w:bCs/>
          <w:b/>
        </w:rPr>
        <w:t xml:space="preserve">Localização:</w:t>
      </w:r>
      <w:r>
        <w:t xml:space="preserve"> </w:t>
      </w:r>
      <w:r>
        <w:rPr>
          <w:rStyle w:val="VerbatimChar"/>
        </w:rPr>
        <w:t xml:space="preserve">client/src/pages/NovoProjeto.tsx</w:t>
      </w:r>
      <w:r>
        <w:t xml:space="preserve">, linhas 468-474.</w:t>
      </w:r>
    </w:p>
    <w:p>
      <w:pPr>
        <w:pStyle w:val="BodyText"/>
      </w:pPr>
      <w:r>
        <w:rPr>
          <w:bCs/>
          <w:b/>
        </w:rPr>
        <w:t xml:space="preserve">Correção necessária: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isEconomicGroup: perfilData.isEconomicGroup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taxCentralization: perfilData.taxCentralization</w:t>
      </w:r>
      <w:r>
        <w:t xml:space="preserve"> </w:t>
      </w:r>
      <w:r>
        <w:t xml:space="preserve">ao objeto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antes do envio.</w:t>
      </w:r>
    </w:p>
    <w:p>
      <w:pPr>
        <w:pStyle w:val="BodyText"/>
      </w:pPr>
      <w:r>
        <w:rPr>
          <w:bCs/>
          <w:b/>
        </w:rPr>
        <w:t xml:space="preserve">Prioridade:</w:t>
      </w:r>
      <w:r>
        <w:t xml:space="preserve"> </w:t>
      </w:r>
      <w:r>
        <w:t xml:space="preserve">P0 — bloqueia DA-5.</w:t>
      </w:r>
    </w:p>
    <w:p>
      <w:r>
        <w:pict>
          <v:rect style="width:0;height:1.5pt" o:hralign="center" o:hrstd="t" o:hr="t"/>
        </w:pict>
      </w:r>
    </w:p>
    <w:bookmarkEnd w:id="32"/>
    <w:bookmarkStart w:id="33" w:name="X36e86794eca3601e0752fc50f3730ea81db79a6"/>
    <w:p>
      <w:pPr>
        <w:pStyle w:val="Heading3"/>
      </w:pPr>
      <w:r>
        <w:t xml:space="preserve">OBS-001 (OBSERVAÇÃO) — Sobreposição entre QC-07 e QO-03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rPr>
          <w:rStyle w:val="VerbatimChar"/>
        </w:rPr>
        <w:t xml:space="preserve">qc07_meios</w:t>
      </w:r>
      <w:r>
        <w:t xml:space="preserve"> </w:t>
      </w:r>
      <w:r>
        <w:t xml:space="preserve">(Questionário Corporativo, seção QC-07) e</w:t>
      </w:r>
      <w:r>
        <w:t xml:space="preserve"> </w:t>
      </w:r>
      <w:r>
        <w:rPr>
          <w:rStyle w:val="VerbatimChar"/>
        </w:rPr>
        <w:t xml:space="preserve">qo03_meios</w:t>
      </w:r>
      <w:r>
        <w:t xml:space="preserve"> </w:t>
      </w:r>
      <w:r>
        <w:t xml:space="preserve">(Questionário Operacional, seção QO-03) fazem a mesma pergunta com as mesmas opções:</w:t>
      </w:r>
      <w:r>
        <w:t xml:space="preserve"> </w:t>
      </w:r>
      <w:r>
        <w:t xml:space="preserve">“</w:t>
      </w:r>
      <w:r>
        <w:t xml:space="preserve">Meios de pagamento utilizados/recebidos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O usuário responde a mesma pergunta duas vezes. O prefill de</w:t>
      </w:r>
      <w:r>
        <w:t xml:space="preserve"> </w:t>
      </w:r>
      <w:r>
        <w:rPr>
          <w:rStyle w:val="VerbatimChar"/>
        </w:rPr>
        <w:t xml:space="preserve">qo03_meios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financialProfile.paymentMethods[]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qc07_meios</w:t>
      </w:r>
      <w:r>
        <w:t xml:space="preserve"> </w:t>
      </w:r>
      <w:r>
        <w:t xml:space="preserve">não tem prefill — o usuário precisa preencher manualmente.</w:t>
      </w:r>
    </w:p>
    <w:p>
      <w:pPr>
        <w:pStyle w:val="BodyText"/>
      </w:pPr>
      <w:r>
        <w:rPr>
          <w:bCs/>
          <w:b/>
        </w:rPr>
        <w:t xml:space="preserve">Recomendação para PO:</w:t>
      </w:r>
      <w:r>
        <w:t xml:space="preserve"> </w:t>
      </w:r>
      <w:r>
        <w:t xml:space="preserve">Avaliar se as duas perguntas têm propósitos distintos (QC-07 = visão fiscal/tributária, QO-03 = visão operacional/fluxo de caixa) ou se uma delas pode ser removida ou consolidada.</w:t>
      </w:r>
    </w:p>
    <w:p>
      <w:pPr>
        <w:pStyle w:val="BodyText"/>
      </w:pPr>
      <w:r>
        <w:rPr>
          <w:bCs/>
          <w:b/>
        </w:rPr>
        <w:t xml:space="preserve">Prioridade:</w:t>
      </w:r>
      <w:r>
        <w:t xml:space="preserve"> </w:t>
      </w:r>
      <w:r>
        <w:t xml:space="preserve">P2 — não bloqueia UAT, mas gera atrito desnecessário.</w:t>
      </w:r>
    </w:p>
    <w:p>
      <w:r>
        <w:pict>
          <v:rect style="width:0;height:1.5pt" o:hralign="center" o:hrstd="t" o:hr="t"/>
        </w:pict>
      </w:r>
    </w:p>
    <w:bookmarkEnd w:id="33"/>
    <w:bookmarkStart w:id="34" w:name="Xf0e77ade014243c82e0a6b8e212d75e9f48c889"/>
    <w:p>
      <w:pPr>
        <w:pStyle w:val="Heading3"/>
      </w:pPr>
      <w:r>
        <w:t xml:space="preserve">OBS-002 (OBSERVAÇÃO) — Banner de prefill usa colunas diretas legadas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banner informativo no QC-01 (linha 316 do</w:t>
      </w:r>
      <w:r>
        <w:t xml:space="preserve"> </w:t>
      </w:r>
      <w:r>
        <w:rPr>
          <w:rStyle w:val="VerbatimChar"/>
        </w:rPr>
        <w:t xml:space="preserve">QuestionarioCorporativoV2.tsx</w:t>
      </w:r>
      <w:r>
        <w:t xml:space="preserve">) verifica</w:t>
      </w:r>
      <w:r>
        <w:t xml:space="preserve"> </w:t>
      </w:r>
      <w:r>
        <w:rPr>
          <w:rStyle w:val="VerbatimChar"/>
        </w:rPr>
        <w:t xml:space="preserve">(projeto as any)?.taxRegime || (projeto as any)?.companySize</w:t>
      </w:r>
      <w:r>
        <w:t xml:space="preserve"> </w:t>
      </w:r>
      <w:r>
        <w:t xml:space="preserve">— colunas diretas legadas — em vez de</w:t>
      </w:r>
      <w:r>
        <w:t xml:space="preserve"> </w:t>
      </w:r>
      <w:r>
        <w:rPr>
          <w:rStyle w:val="VerbatimChar"/>
        </w:rPr>
        <w:t xml:space="preserve">companyProfile.taxRegime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companyProfile.companySize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Para projetos novos onde</w:t>
      </w:r>
      <w:r>
        <w:t xml:space="preserve"> </w:t>
      </w:r>
      <w:r>
        <w:rPr>
          <w:rStyle w:val="VerbatimChar"/>
        </w:rPr>
        <w:t xml:space="preserve">taxRegime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companySize</w:t>
      </w:r>
      <w:r>
        <w:t xml:space="preserve"> </w:t>
      </w:r>
      <w:r>
        <w:t xml:space="preserve">são armazenados apenas dentro do JSON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(não como colunas diretas), o banner pode não aparecer mesmo quando os dados estão disponíveis.</w:t>
      </w:r>
    </w:p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Atualizar a condição do banner para</w:t>
      </w:r>
      <w:r>
        <w:t xml:space="preserve"> </w:t>
      </w:r>
      <w:r>
        <w:rPr>
          <w:rStyle w:val="VerbatimChar"/>
        </w:rPr>
        <w:t xml:space="preserve">(projeto as any)?.companyProfile?.taxRegime || (projeto as any)?.companyProfile?.companySize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Prioridade:</w:t>
      </w:r>
      <w:r>
        <w:t xml:space="preserve"> </w:t>
      </w:r>
      <w:r>
        <w:t xml:space="preserve">P1 — impacta UX mas não bloqueia prefill funcional.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835757411f62a84ed8bc66b3b62ef85a800db6a"/>
    <w:p>
      <w:pPr>
        <w:pStyle w:val="Heading2"/>
      </w:pPr>
      <w:r>
        <w:t xml:space="preserve">SEÇÃO 6 — Verificação de Integridade do Fluxo E2E</w:t>
      </w:r>
    </w:p>
    <w:bookmarkStart w:id="36" w:name="X6ecbed214b041d5904cbef66c05732b4e6a9365"/>
    <w:p>
      <w:pPr>
        <w:pStyle w:val="Heading3"/>
      </w:pPr>
      <w:r>
        <w:t xml:space="preserve">Fluxo completo de um campo pré-preenchível:</w:t>
      </w:r>
    </w:p>
    <w:p>
      <w:pPr>
        <w:pStyle w:val="SourceCode"/>
      </w:pPr>
      <w:r>
        <w:rPr>
          <w:rStyle w:val="VerbatimChar"/>
        </w:rPr>
        <w:t xml:space="preserve">[Usuário preenche perfil] </w:t>
      </w:r>
      <w:r>
        <w:br/>
      </w:r>
      <w:r>
        <w:rPr>
          <w:rStyle w:val="VerbatimChar"/>
        </w:rPr>
        <w:t xml:space="preserve">  → PerfilEmpresaIntelligente.tsx (coleta dado)</w:t>
      </w:r>
      <w:r>
        <w:br/>
      </w:r>
      <w:r>
        <w:rPr>
          <w:rStyle w:val="VerbatimChar"/>
        </w:rPr>
        <w:t xml:space="preserve">  → NovoProjeto.tsx (monta payload — ⚠️ BUG-001 aqui para isEconomicGroup/taxCentralization)</w:t>
      </w:r>
      <w:r>
        <w:br/>
      </w:r>
      <w:r>
        <w:rPr>
          <w:rStyle w:val="VerbatimChar"/>
        </w:rPr>
        <w:t xml:space="preserve">  → routers-fluxo-v3.ts createProject (valida Zod, persiste)</w:t>
      </w:r>
      <w:r>
        <w:br/>
      </w:r>
      <w:r>
        <w:rPr>
          <w:rStyle w:val="VerbatimChar"/>
        </w:rPr>
        <w:t xml:space="preserve">  → drizzle/schema.ts projects.companyProfile (JSON no banco)</w:t>
      </w:r>
      <w:r>
        <w:br/>
      </w:r>
      <w:r>
        <w:rPr>
          <w:rStyle w:val="VerbatimChar"/>
        </w:rPr>
        <w:t xml:space="preserve">  → db.getProjectById() → normalizeProject() (JSON → objeto)</w:t>
      </w:r>
      <w:r>
        <w:br/>
      </w:r>
      <w:r>
        <w:rPr>
          <w:rStyle w:val="VerbatimChar"/>
        </w:rPr>
        <w:t xml:space="preserve">  → tRPC response (objeto normalizado)</w:t>
      </w:r>
      <w:r>
        <w:br/>
      </w:r>
      <w:r>
        <w:rPr>
          <w:rStyle w:val="VerbatimChar"/>
        </w:rPr>
        <w:t xml:space="preserve">  → QuestionarioCorporativoV2.tsx useEffect</w:t>
      </w:r>
      <w:r>
        <w:br/>
      </w:r>
      <w:r>
        <w:rPr>
          <w:rStyle w:val="VerbatimChar"/>
        </w:rPr>
        <w:t xml:space="preserve">  → buildCorporatePrefill(projeto) (builder canônico)</w:t>
      </w:r>
      <w:r>
        <w:br/>
      </w:r>
      <w:r>
        <w:rPr>
          <w:rStyle w:val="VerbatimChar"/>
        </w:rPr>
        <w:t xml:space="preserve">  → setRespostas(prefill) (estado do formulário)</w:t>
      </w:r>
      <w:r>
        <w:br/>
      </w:r>
      <w:r>
        <w:rPr>
          <w:rStyle w:val="VerbatimChar"/>
        </w:rPr>
        <w:t xml:space="preserve">  → Campo pré-preenchido visível ao usuário</w:t>
      </w:r>
    </w:p>
    <w:p>
      <w:pPr>
        <w:pStyle w:val="FirstParagraph"/>
      </w:pPr>
      <w:r>
        <w:rPr>
          <w:bCs/>
          <w:b/>
        </w:rPr>
        <w:t xml:space="preserve">Campos com fluxo 100% íntegro:</w:t>
      </w:r>
      <w:r>
        <w:t xml:space="preserve"> </w:t>
      </w:r>
      <w:r>
        <w:rPr>
          <w:rStyle w:val="VerbatimChar"/>
        </w:rPr>
        <w:t xml:space="preserve">qc01_regime</w:t>
      </w:r>
      <w:r>
        <w:t xml:space="preserve">,</w:t>
      </w:r>
      <w:r>
        <w:t xml:space="preserve"> </w:t>
      </w:r>
      <w:r>
        <w:rPr>
          <w:rStyle w:val="VerbatimChar"/>
        </w:rPr>
        <w:t xml:space="preserve">qc01_porte</w:t>
      </w:r>
      <w:r>
        <w:t xml:space="preserve">,</w:t>
      </w:r>
      <w:r>
        <w:t xml:space="preserve"> </w:t>
      </w:r>
      <w:r>
        <w:rPr>
          <w:rStyle w:val="VerbatimChar"/>
        </w:rPr>
        <w:t xml:space="preserve">qc02_filiais</w:t>
      </w:r>
      <w:r>
        <w:t xml:space="preserve">,</w:t>
      </w:r>
      <w:r>
        <w:t xml:space="preserve"> </w:t>
      </w:r>
      <w:r>
        <w:rPr>
          <w:rStyle w:val="VerbatimChar"/>
        </w:rPr>
        <w:t xml:space="preserve">qo01_canais</w:t>
      </w:r>
      <w:r>
        <w:t xml:space="preserve">,</w:t>
      </w:r>
      <w:r>
        <w:t xml:space="preserve"> </w:t>
      </w:r>
      <w:r>
        <w:rPr>
          <w:rStyle w:val="VerbatimChar"/>
        </w:rPr>
        <w:t xml:space="preserve">qo01_clientes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qo03_meios</w:t>
      </w:r>
      <w:r>
        <w:t xml:space="preserve">,</w:t>
      </w:r>
      <w:r>
        <w:t xml:space="preserve"> </w:t>
      </w:r>
      <w:r>
        <w:rPr>
          <w:rStyle w:val="VerbatimChar"/>
        </w:rPr>
        <w:t xml:space="preserve">qo08_equipe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qcnae01_setor</w:t>
      </w:r>
      <w:r>
        <w:t xml:space="preserve">,</w:t>
      </w:r>
      <w:r>
        <w:t xml:space="preserve"> </w:t>
      </w:r>
      <w:r>
        <w:rPr>
          <w:rStyle w:val="VerbatimChar"/>
        </w:rPr>
        <w:t xml:space="preserve">qcnae01_atividades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qcnae01_observacoes</w:t>
      </w:r>
    </w:p>
    <w:p>
      <w:pPr>
        <w:pStyle w:val="BodyText"/>
      </w:pPr>
      <w:r>
        <w:rPr>
          <w:bCs/>
          <w:b/>
        </w:rPr>
        <w:t xml:space="preserve">Campos com fluxo quebrado no elo de persistência:</w:t>
      </w:r>
      <w:r>
        <w:t xml:space="preserve"> </w:t>
      </w:r>
      <w:r>
        <w:rPr>
          <w:rStyle w:val="VerbatimChar"/>
        </w:rPr>
        <w:t xml:space="preserve">qc02_grupo</w:t>
      </w:r>
      <w:r>
        <w:t xml:space="preserve">,</w:t>
      </w:r>
      <w:r>
        <w:t xml:space="preserve"> </w:t>
      </w:r>
      <w:r>
        <w:rPr>
          <w:rStyle w:val="VerbatimChar"/>
        </w:rPr>
        <w:t xml:space="preserve">qc02_centralizacao</w:t>
      </w:r>
      <w:r>
        <w:t xml:space="preserve"> </w:t>
      </w:r>
      <w:r>
        <w:t xml:space="preserve">(BUG-001)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4710817c59575dcdd190caf70e73b007e4c310d"/>
    <w:p>
      <w:pPr>
        <w:pStyle w:val="Heading2"/>
      </w:pPr>
      <w:r>
        <w:t xml:space="preserve">SEÇÃO 7 — Conformidade com Invariant Registry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 Contract Matrix — builders canônicos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normalizada — JSON nunca como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lógica local de prefill nos questionários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PCT passando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377/377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normalizeProject aplicado em todos os retornos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 gerados com estrutura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Planos de ação vinculados a riscos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com campos obrigatórios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seção-8-decisão-de-gate"/>
    <w:p>
      <w:pPr>
        <w:pStyle w:val="Heading2"/>
      </w:pPr>
      <w:r>
        <w:t xml:space="preserve">SEÇÃO 8 — Decisão de Gate</w:t>
      </w:r>
    </w:p>
    <w:bookmarkStart w:id="39" w:name="critérios-de-aceite-para-uat"/>
    <w:p>
      <w:pPr>
        <w:pStyle w:val="Heading3"/>
      </w:pPr>
      <w:r>
        <w:t xml:space="preserve">Critérios de Aceite para UAT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DA-1 a DA-5 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(com ressalva BUG-001)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377/377 testes passando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Nenhuma lógica local de 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normalizeProject em todos os retornos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BUG-001 documentado e priorizado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9"/>
    <w:bookmarkStart w:id="40" w:name="decisão"/>
    <w:p>
      <w:pPr>
        <w:pStyle w:val="Heading3"/>
      </w:pPr>
      <w:r>
        <w:t xml:space="preserve">Decisão</w:t>
      </w:r>
    </w:p>
    <w:p>
      <w:pPr>
        <w:pStyle w:val="BlockText"/>
      </w:pPr>
      <w:r>
        <w:rPr>
          <w:bCs/>
          <w:b/>
        </w:rPr>
        <w:t xml:space="preserve">✅ APROVADO PARA UAT — com BUG-001 registrado como P0 para correção antes da sessão com advogados.</w:t>
      </w:r>
    </w:p>
    <w:p>
      <w:pPr>
        <w:pStyle w:val="FirstParagraph"/>
      </w:pPr>
      <w:r>
        <w:t xml:space="preserve">O sistema está funcional para os 10 campos de prefill íntegros. Os campos</w:t>
      </w:r>
      <w:r>
        <w:t xml:space="preserve"> </w:t>
      </w:r>
      <w:r>
        <w:rPr>
          <w:rStyle w:val="VerbatimChar"/>
        </w:rPr>
        <w:t xml:space="preserve">qc02_grupo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qc02_centralizacao</w:t>
      </w:r>
      <w:r>
        <w:t xml:space="preserve"> </w:t>
      </w:r>
      <w:r>
        <w:t xml:space="preserve">serão exibidos em branco durante o UAT (comportamento esperado e documentado). A correção do BUG-001 é simples (2 linhas no</w:t>
      </w:r>
      <w:r>
        <w:t xml:space="preserve"> </w:t>
      </w:r>
      <w:r>
        <w:rPr>
          <w:rStyle w:val="VerbatimChar"/>
        </w:rPr>
        <w:t xml:space="preserve">NovoProjeto.tsx</w:t>
      </w:r>
      <w:r>
        <w:t xml:space="preserve">) e pode ser aplicada antes da sessão de UAT.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como parte da Sub-Sprint Estrutural de Prefill Contract — ISSUE-001</w:t>
      </w:r>
      <w:r>
        <w:br/>
      </w:r>
      <w:r>
        <w:rPr>
          <w:iCs/>
          <w:i/>
        </w:rPr>
        <w:t xml:space="preserve">Próxima revisão: após correção do BUG-001 e UAT com advogados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2026-03-24T18:54:42Z</dcterms:created>
  <dcterms:modified xsi:type="dcterms:W3CDTF">2026-03-24T18:54:42Z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