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Xfd38bbc9bb7047f0cdbbb20465346bcae59c923"/>
    <w:p>
      <w:pPr>
        <w:pStyle w:val="Heading1"/>
      </w:pPr>
      <w:r>
        <w:t xml:space="preserve">Projeto IA SOLARIS — Compliance da Reforma Tributária</w:t>
      </w:r>
    </w:p>
    <w:bookmarkStart w:id="20" w:name="documento-de-projeto"/>
    <w:p>
      <w:pPr>
        <w:pStyle w:val="Heading2"/>
      </w:pPr>
      <w:r>
        <w:t xml:space="preserve">Documento de Projeto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de Março de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Versão 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(documento fundacional — reposicionamento estratégico)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Sprint de referência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v5.3.0 (versão atual em produção)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UAT — aguardando aprovação jurídica para ativar modo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Domínio de produção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iasolaris.manus.space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github.com/Solaris-Empresa/compliance-tributaria-v2</w:t>
            </w:r>
          </w:p>
        </w:tc>
      </w:tr>
    </w:tbl>
    <w:p>
      <w:pPr>
        <w:pStyle w:val="BlockText"/>
      </w:pPr>
      <w:r>
        <w:rPr>
          <w:bCs/>
          <w:b/>
        </w:rPr>
        <w:t xml:space="preserve">Sobre este documento:</w:t>
      </w:r>
      <w:r>
        <w:t xml:space="preserve"> </w:t>
      </w:r>
      <w:r>
        <w:t xml:space="preserve">O v1.00 registrou a visão estratégica e o reposicionamento do produto — de um fluxo centrado em CNAE para um fluxo centrado em requisitos regulatórios de compliance. O v2.00 registra o que foi</w:t>
      </w:r>
      <w:r>
        <w:t xml:space="preserve"> </w:t>
      </w:r>
      <w:r>
        <w:rPr>
          <w:bCs/>
          <w:b/>
        </w:rPr>
        <w:t xml:space="preserve">efetivamente construído e validado</w:t>
      </w:r>
      <w:r>
        <w:t xml:space="preserve"> </w:t>
      </w:r>
      <w:r>
        <w:t xml:space="preserve">a partir dessa visão, com as decisões arquiteturais tomadas, os motores implementados, as métricas reais de produção e o estado atual da plataforma.</w:t>
      </w:r>
    </w:p>
    <w:p>
      <w:r>
        <w:pict>
          <v:rect style="width:0;height:1.5pt" o:hralign="center" o:hrstd="t" o:hr="t"/>
        </w:pict>
      </w:r>
    </w:p>
    <w:bookmarkEnd w:id="20"/>
    <w:bookmarkStart w:id="21" w:name="sumário"/>
    <w:p>
      <w:pPr>
        <w:pStyle w:val="Heading2"/>
      </w:pPr>
      <w:r>
        <w:t xml:space="preserve">Sumário</w:t>
      </w:r>
    </w:p>
    <w:p>
      <w:pPr>
        <w:numPr>
          <w:ilvl w:val="0"/>
          <w:numId w:val="1001"/>
        </w:numPr>
        <w:pStyle w:val="Compact"/>
      </w:pPr>
      <w:r>
        <w:t xml:space="preserve">O Que a Plataforma É (Visão Correta)</w:t>
      </w:r>
    </w:p>
    <w:p>
      <w:pPr>
        <w:numPr>
          <w:ilvl w:val="0"/>
          <w:numId w:val="1001"/>
        </w:numPr>
        <w:pStyle w:val="Compact"/>
      </w:pPr>
      <w:r>
        <w:t xml:space="preserve">Reposicionamento Estratégico — De CNAE para Requisitos Regulatórios</w:t>
      </w:r>
    </w:p>
    <w:p>
      <w:pPr>
        <w:numPr>
          <w:ilvl w:val="0"/>
          <w:numId w:val="1001"/>
        </w:numPr>
        <w:pStyle w:val="Compact"/>
      </w:pPr>
      <w:r>
        <w:t xml:space="preserve">Pipeline Completo da Plataforma (Estado Atual)</w:t>
      </w:r>
    </w:p>
    <w:p>
      <w:pPr>
        <w:numPr>
          <w:ilvl w:val="0"/>
          <w:numId w:val="1001"/>
        </w:numPr>
        <w:pStyle w:val="Compact"/>
      </w:pPr>
      <w:r>
        <w:t xml:space="preserve">Como a IA Está Sendo Usada</w:t>
      </w:r>
    </w:p>
    <w:p>
      <w:pPr>
        <w:numPr>
          <w:ilvl w:val="0"/>
          <w:numId w:val="1001"/>
        </w:numPr>
        <w:pStyle w:val="Compact"/>
      </w:pPr>
      <w:r>
        <w:t xml:space="preserve">Motores de Negócio Implementados</w:t>
      </w:r>
    </w:p>
    <w:p>
      <w:pPr>
        <w:numPr>
          <w:ilvl w:val="0"/>
          <w:numId w:val="1001"/>
        </w:numPr>
        <w:pStyle w:val="Compact"/>
      </w:pPr>
      <w:r>
        <w:t xml:space="preserve">Arquitetura de Diagnóstico Dual V1/V3</w:t>
      </w:r>
    </w:p>
    <w:p>
      <w:pPr>
        <w:numPr>
          <w:ilvl w:val="0"/>
          <w:numId w:val="1001"/>
        </w:numPr>
        <w:pStyle w:val="Compact"/>
      </w:pPr>
      <w:r>
        <w:t xml:space="preserve">Shadow Mode — Protocolo de Migração</w:t>
      </w:r>
    </w:p>
    <w:p>
      <w:pPr>
        <w:numPr>
          <w:ilvl w:val="0"/>
          <w:numId w:val="1001"/>
        </w:numPr>
        <w:pStyle w:val="Compact"/>
      </w:pPr>
      <w:r>
        <w:t xml:space="preserve">Suite de Validação Automatizada</w:t>
      </w:r>
    </w:p>
    <w:p>
      <w:pPr>
        <w:numPr>
          <w:ilvl w:val="0"/>
          <w:numId w:val="1001"/>
        </w:numPr>
        <w:pStyle w:val="Compact"/>
      </w:pPr>
      <w:r>
        <w:t xml:space="preserve">Estado Atual da Plataforma (Métricas de Produção)</w:t>
      </w:r>
    </w:p>
    <w:p>
      <w:pPr>
        <w:numPr>
          <w:ilvl w:val="0"/>
          <w:numId w:val="1001"/>
        </w:numPr>
        <w:pStyle w:val="Compact"/>
      </w:pPr>
      <w:r>
        <w:t xml:space="preserve">Protocolo UAT com Advogados</w:t>
      </w:r>
    </w:p>
    <w:p>
      <w:pPr>
        <w:numPr>
          <w:ilvl w:val="0"/>
          <w:numId w:val="1001"/>
        </w:numPr>
        <w:pStyle w:val="Compact"/>
      </w:pPr>
      <w:r>
        <w:t xml:space="preserve">Roadmap e Próximos Passos</w:t>
      </w:r>
    </w:p>
    <w:p>
      <w:pPr>
        <w:numPr>
          <w:ilvl w:val="0"/>
          <w:numId w:val="1001"/>
        </w:numPr>
        <w:pStyle w:val="Compact"/>
      </w:pPr>
      <w:r>
        <w:t xml:space="preserve">Papéis e Responsabilidades</w:t>
      </w:r>
    </w:p>
    <w:p>
      <w:pPr>
        <w:numPr>
          <w:ilvl w:val="0"/>
          <w:numId w:val="1001"/>
        </w:numPr>
        <w:pStyle w:val="Compact"/>
      </w:pPr>
      <w:r>
        <w:t xml:space="preserve">Definition of Done</w:t>
      </w:r>
    </w:p>
    <w:p>
      <w:pPr>
        <w:numPr>
          <w:ilvl w:val="0"/>
          <w:numId w:val="1001"/>
        </w:numPr>
        <w:pStyle w:val="Compact"/>
      </w:pPr>
      <w:r>
        <w:t xml:space="preserve">Decisões Arquiteturais (ADRs)</w:t>
      </w:r>
    </w:p>
    <w:p>
      <w:r>
        <w:pict>
          <v:rect style="width:0;height:1.5pt" o:hralign="center" o:hrstd="t" o:hr="t"/>
        </w:pict>
      </w:r>
    </w:p>
    <w:bookmarkEnd w:id="21"/>
    <w:bookmarkStart w:id="22" w:name="o-que-a-plataforma-é-visão-correta"/>
    <w:p>
      <w:pPr>
        <w:pStyle w:val="Heading2"/>
      </w:pPr>
      <w:r>
        <w:t xml:space="preserve">1. O Que a Plataforma É (Visão Correta)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IA SOLARIS</w:t>
      </w:r>
      <w:r>
        <w:t xml:space="preserve"> </w:t>
      </w:r>
      <w:r>
        <w:t xml:space="preserve">não é um</w:t>
      </w:r>
      <w:r>
        <w:t xml:space="preserve"> </w:t>
      </w:r>
      <w:r>
        <w:t xml:space="preserve">“</w:t>
      </w:r>
      <w:r>
        <w:t xml:space="preserve">assistente de IA</w:t>
      </w:r>
      <w:r>
        <w:t xml:space="preserve">”</w:t>
      </w:r>
      <w:r>
        <w:t xml:space="preserve">. É um:</w:t>
      </w:r>
    </w:p>
    <w:p>
      <w:pPr>
        <w:pStyle w:val="BlockText"/>
      </w:pPr>
      <w:r>
        <w:rPr>
          <w:bCs/>
          <w:b/>
        </w:rPr>
        <w:t xml:space="preserve">Sistema de Diagnóstico + Decisão + Execução orientado por IA</w:t>
      </w:r>
      <w:r>
        <w:t xml:space="preserve"> </w:t>
      </w:r>
      <w:r>
        <w:t xml:space="preserve">— um motor de compliance tributário orientado a requisitos regulatórios, com pipeline híbrido (LLM + RAG + scoring determinístico + workflow operacional).</w:t>
      </w:r>
    </w:p>
    <w:p>
      <w:pPr>
        <w:pStyle w:val="FirstParagraph"/>
      </w:pPr>
      <w:r>
        <w:rPr>
          <w:bCs/>
          <w:b/>
        </w:rPr>
        <w:t xml:space="preserve">Em uma frase:</w:t>
      </w:r>
      <w:r>
        <w:t xml:space="preserve"> </w:t>
      </w:r>
      <w:r>
        <w:t xml:space="preserve">A IA SOLARIS é um</w:t>
      </w:r>
      <w:r>
        <w:t xml:space="preserve"> </w:t>
      </w:r>
      <w:r>
        <w:rPr>
          <w:bCs/>
          <w:b/>
        </w:rPr>
        <w:t xml:space="preserve">ERP cognitivo de compliance tributário</w:t>
      </w:r>
      <w:r>
        <w:t xml:space="preserve"> </w:t>
      </w:r>
      <w:r>
        <w:t xml:space="preserve">que transforma a Reforma Tributária Brasileira (EC 132/2023, LC 214/2025, LC 227/2024) em um processo estruturado e executável.</w:t>
      </w:r>
    </w:p>
    <w:p>
      <w:pPr>
        <w:pStyle w:val="BodyText"/>
      </w:pPr>
      <w:r>
        <w:rPr>
          <w:bCs/>
          <w:b/>
        </w:rPr>
        <w:t xml:space="preserve">Proposta de valor central:</w:t>
      </w:r>
      <w:r>
        <w:t xml:space="preserve"> </w:t>
      </w:r>
      <w:r>
        <w:t xml:space="preserve">Transformar 499 requisitos legais complexos em um diagnóstico empresarial acionável, com score de compliance por domínio, identificação de gaps classificados por nível e criticidade, e plano de ação com tarefas atômicas rastreáveis até o requisito de origem.</w:t>
      </w:r>
    </w:p>
    <w:p>
      <w:pPr>
        <w:pStyle w:val="BodyText"/>
      </w:pPr>
      <w:r>
        <w:rPr>
          <w:bCs/>
          <w:b/>
        </w:rPr>
        <w:t xml:space="preserve">O que o produto entrega: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de compliance por domínio + score 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Classificação por tipo, nível e criticidade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derivada dos gaps (não de IA solta)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Tarefas atômicas com rastreabilidade requisito → gap → risco → 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Radar de compliance, painel de gaps, painel de riscos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X94067b92797b7a649ac3a0513e09a2f96ccf13f"/>
    <w:p>
      <w:pPr>
        <w:pStyle w:val="Heading2"/>
      </w:pPr>
      <w:r>
        <w:t xml:space="preserve">2. Reposicionamento Estratégico — De CNAE para Requisitos Regulatórios</w:t>
      </w:r>
    </w:p>
    <w:bookmarkStart w:id="23" w:name="o-erro-original-e-a-correção"/>
    <w:p>
      <w:pPr>
        <w:pStyle w:val="Heading3"/>
      </w:pPr>
      <w:r>
        <w:t xml:space="preserve">2.1 O Erro Original e a Correção</w:t>
      </w:r>
    </w:p>
    <w:p>
      <w:pPr>
        <w:pStyle w:val="FirstParagraph"/>
      </w:pPr>
      <w:r>
        <w:t xml:space="preserve">O documento v1.00 identificou o erro estrutural central: o produto havia sido construído com</w:t>
      </w:r>
      <w:r>
        <w:t xml:space="preserve"> </w:t>
      </w:r>
      <w:r>
        <w:rPr>
          <w:bCs/>
          <w:b/>
        </w:rPr>
        <w:t xml:space="preserve">CNAE como camada raiz</w:t>
      </w:r>
      <w:r>
        <w:t xml:space="preserve">, quando o correto é:</w:t>
      </w:r>
    </w:p>
    <w:p>
      <w:pPr>
        <w:pStyle w:val="BlockText"/>
      </w:pPr>
      <w:r>
        <w:rPr>
          <w:bCs/>
          <w:b/>
        </w:rPr>
        <w:t xml:space="preserve">OBRIGAÇÕES DE COMPLIANCE 2026 → diagnóstico → gaps → plano</w:t>
      </w:r>
    </w:p>
    <w:p>
      <w:pPr>
        <w:pStyle w:val="FirstParagraph"/>
      </w:pPr>
      <w:r>
        <w:t xml:space="preserve">O CNAE passou a ser</w:t>
      </w:r>
      <w:r>
        <w:t xml:space="preserve"> </w:t>
      </w:r>
      <w:r>
        <w:rPr>
          <w:bCs/>
          <w:b/>
        </w:rPr>
        <w:t xml:space="preserve">camada de contextualização e especialização</w:t>
      </w:r>
      <w:r>
        <w:t xml:space="preserve">, não mais a camada de início. Isso preservou os embeddings e a personalização setorial já construídos, mas mudou o motor conceitual do produto.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Antes (v1.00 — errado)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Depois (v2.00 — correto)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CNAE → perguntas → análise → plano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regulatórios → assessment → gaps → riscos → plano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 cria perguntas livremente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sabe o que precisa ser cumprido; IA investiga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Diagnóstico centrado em setor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centrado em obrigação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Plano genérico derivado da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atômico derivado dos gaps formalizados</w:t>
            </w:r>
          </w:p>
        </w:tc>
      </w:tr>
    </w:tbl>
    <w:bookmarkEnd w:id="23"/>
    <w:bookmarkStart w:id="24" w:name="o-novo-funil-implementado"/>
    <w:p>
      <w:pPr>
        <w:pStyle w:val="Heading3"/>
      </w:pPr>
      <w:r>
        <w:t xml:space="preserve">2.2 O Novo Funil (Implementado)</w:t>
      </w:r>
    </w:p>
    <w:p>
      <w:pPr>
        <w:pStyle w:val="FirstParagraph"/>
      </w:pPr>
      <w:r>
        <w:t xml:space="preserve">O funil em camadas proposto no v1.00 foi implementado no fluxo V3:</w:t>
      </w:r>
    </w:p>
    <w:p>
      <w:pPr>
        <w:pStyle w:val="BodyText"/>
      </w:pPr>
      <w:r>
        <w:rPr>
          <w:bCs/>
          <w:b/>
        </w:rPr>
        <w:t xml:space="preserve">Camada 1 — Diagnóstico Base (universal):</w:t>
      </w:r>
      <w:r>
        <w:t xml:space="preserve"> </w:t>
      </w:r>
      <w:r>
        <w:t xml:space="preserve">Perguntas que valem para qualquer empresa, derivadas dos 499 requisitos canônicos organizados em 9 domínios.</w:t>
      </w:r>
    </w:p>
    <w:p>
      <w:pPr>
        <w:pStyle w:val="BodyText"/>
      </w:pPr>
      <w:r>
        <w:rPr>
          <w:bCs/>
          <w:b/>
        </w:rPr>
        <w:t xml:space="preserve">Camada 2 — Especialização por CNAE/Setor:</w:t>
      </w:r>
      <w:r>
        <w:t xml:space="preserve"> </w:t>
      </w:r>
      <w:r>
        <w:t xml:space="preserve">O CNAE ajusta o peso e a profundidade das perguntas, mas não é mais o ponto de partida. Os 1.332 CNAEs vetorizados com embeddings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 </w:t>
      </w:r>
      <w:r>
        <w:t xml:space="preserve">permitem personalização semântica sem depender de correspondência exata.</w:t>
      </w:r>
    </w:p>
    <w:p>
      <w:pPr>
        <w:pStyle w:val="BodyText"/>
      </w:pPr>
      <w:r>
        <w:rPr>
          <w:bCs/>
          <w:b/>
        </w:rPr>
        <w:t xml:space="preserve">Camada 3 — Profundidade Operacional:</w:t>
      </w:r>
      <w:r>
        <w:t xml:space="preserve"> </w:t>
      </w:r>
      <w:r>
        <w:t xml:space="preserve">Instruções Normativas, layouts fiscais, ERP, processos reais — o nível de detalhe que transforma o diagnóstico em plano executável.</w:t>
      </w:r>
    </w:p>
    <w:bookmarkEnd w:id="24"/>
    <w:bookmarkStart w:id="25" w:name="os-499-requisitos-canônicos"/>
    <w:p>
      <w:pPr>
        <w:pStyle w:val="Heading3"/>
      </w:pPr>
      <w:r>
        <w:t xml:space="preserve">2.3 Os 499 Requisitos Canônicos</w:t>
      </w:r>
    </w:p>
    <w:p>
      <w:pPr>
        <w:pStyle w:val="FirstParagraph"/>
      </w:pPr>
      <w:r>
        <w:t xml:space="preserve">O mapa canônico de requisitos regulatórios foi implementado com 499 requisitos organizados em 9 domínios: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Exemplos de Requisitos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fiscal_tributario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CBS/IBS, apuração, créditos, não cumulatividade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Adaptar apuração CBS/IBS, mapear crédito na cadeia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obrigacoes_acessorias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NF-e/NFS-e, declarações, integrações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Adaptar NF-e para novos campos CBS/IBS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juridico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de contratos, cláusulas tributárias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Inserir cláusula de repasse tributário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Processos internos, fluxos de trabalho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processo de compras para split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tecnologia_erp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ERP, parametrização fiscal, integrações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 CST para CBS, parametrizar alíquotas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de caixa, formação de preço, margem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Recalcular margem com CBS/IBS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com fornecedores e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contratos de longo prazo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cadeia_valor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Fornecedores, clientes, crédito na cadeia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Mapear crédito IBS na cadeia de fornecedores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cadastro_classificacao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NCM, CNAE, classificação fiscal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Reclassificar produtos conforme nova sistemática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8" w:name="X2a34a1acf65ae3c29b5259076c70231bc9ebb79"/>
    <w:p>
      <w:pPr>
        <w:pStyle w:val="Heading2"/>
      </w:pPr>
      <w:r>
        <w:t xml:space="preserve">3. Pipeline Completo da Plataforma (Estado Atual)</w:t>
      </w:r>
    </w:p>
    <w:p>
      <w:pPr>
        <w:pStyle w:val="FirstParagraph"/>
      </w:pPr>
      <w:r>
        <w:t xml:space="preserve">O pipeline implementado no fluxo V3 tem 5 etapas sequenciais com gates obrigatórios:</w:t>
      </w:r>
    </w:p>
    <w:p>
      <w:pPr>
        <w:pStyle w:val="SourceCode"/>
      </w:pPr>
      <w:r>
        <w:rPr>
          <w:rStyle w:val="VerbatimChar"/>
        </w:rPr>
        <w:t xml:space="preserve">INPUT (descrição do negócio)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[Etapa 1] Extração e refinamento de CNAEs</w:t>
      </w:r>
      <w:r>
        <w:br/>
      </w:r>
      <w:r>
        <w:rPr>
          <w:rStyle w:val="VerbatimChar"/>
        </w:rPr>
        <w:t xml:space="preserve">          (embeddings + IA + fallback semântico)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[Etapa 2] Questionário adaptativo</w:t>
      </w:r>
      <w:r>
        <w:br/>
      </w:r>
      <w:r>
        <w:rPr>
          <w:rStyle w:val="VerbatimChar"/>
        </w:rPr>
        <w:t xml:space="preserve">          (IA + RAG + 499 requisitos canônicos)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[Etapa 3] Briefing executivo</w:t>
      </w:r>
      <w:r>
        <w:br/>
      </w:r>
      <w:r>
        <w:rPr>
          <w:rStyle w:val="VerbatimChar"/>
        </w:rPr>
        <w:t xml:space="preserve">          (IA + RAG + estrutura jurídica)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[Etapa 4] Matrizes de Riscos</w:t>
      </w:r>
      <w:r>
        <w:br/>
      </w:r>
      <w:r>
        <w:rPr>
          <w:rStyle w:val="VerbatimChar"/>
        </w:rPr>
        <w:t xml:space="preserve">          (IA + Gap Engine + Risk Engine determinístico)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[Etapa 5] Plano de Ação</w:t>
      </w:r>
      <w:r>
        <w:br/>
      </w:r>
      <w:r>
        <w:rPr>
          <w:rStyle w:val="VerbatimChar"/>
        </w:rPr>
        <w:t xml:space="preserve">          (IA + tarefas atômicas + rastreabilidade)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OUTPUT FINAL:</w:t>
      </w:r>
      <w:r>
        <w:br/>
      </w:r>
      <w:r>
        <w:rPr>
          <w:rStyle w:val="VerbatimChar"/>
        </w:rPr>
        <w:t xml:space="preserve">→ Decisão executiva + plano operacional rastreável</w:t>
      </w:r>
      <w:r>
        <w:br/>
      </w:r>
      <w:r>
        <w:rPr>
          <w:rStyle w:val="VerbatimChar"/>
        </w:rPr>
        <w:t xml:space="preserve">→ Score por domínio + radar de compliance</w:t>
      </w:r>
      <w:r>
        <w:br/>
      </w:r>
      <w:r>
        <w:rPr>
          <w:rStyle w:val="VerbatimChar"/>
        </w:rPr>
        <w:t xml:space="preserve">→ Matriz de riscos derivada dos gaps</w:t>
      </w:r>
      <w:r>
        <w:br/>
      </w:r>
      <w:r>
        <w:rPr>
          <w:rStyle w:val="VerbatimChar"/>
        </w:rPr>
        <w:t xml:space="preserve">→ Tarefas atômicas: requisito → gap → risco → ação</w:t>
      </w:r>
    </w:p>
    <w:bookmarkStart w:id="27" w:name="gates-obrigatórios"/>
    <w:p>
      <w:pPr>
        <w:pStyle w:val="Heading3"/>
      </w:pPr>
      <w:r>
        <w:t xml:space="preserve">Gates Obrigatórios</w:t>
      </w:r>
    </w:p>
    <w:p>
      <w:pPr>
        <w:pStyle w:val="FirstParagraph"/>
      </w:pPr>
      <w:r>
        <w:t xml:space="preserve">Cada etapa tem um gate que impede o avanço sem os dados mínimos. O gate de retrocesso (ADR-007) executa</w:t>
      </w:r>
      <w:r>
        <w:t xml:space="preserve"> </w:t>
      </w:r>
      <w:r>
        <w:rPr>
          <w:rStyle w:val="VerbatimChar"/>
        </w:rPr>
        <w:t xml:space="preserve">cleanupOnRetrocesso()</w:t>
      </w:r>
      <w:r>
        <w:t xml:space="preserve"> </w:t>
      </w:r>
      <w:r>
        <w:t xml:space="preserve">automaticamente ao retroceder, removendo os dados gerados pela IA na etapa abandonada e registrando a operação em</w:t>
      </w:r>
      <w:r>
        <w:t xml:space="preserve"> </w:t>
      </w:r>
      <w:r>
        <w:rPr>
          <w:rStyle w:val="VerbatimChar"/>
        </w:rPr>
        <w:t xml:space="preserve">projectAuditLog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como-a-ia-está-sendo-usada"/>
    <w:p>
      <w:pPr>
        <w:pStyle w:val="Heading2"/>
      </w:pPr>
      <w:r>
        <w:t xml:space="preserve">4. Como a IA Está Sendo Usada</w:t>
      </w:r>
    </w:p>
    <w:p>
      <w:pPr>
        <w:pStyle w:val="FirstParagraph"/>
      </w:pPr>
      <w:r>
        <w:t xml:space="preserve">A plataforma usa IA em 3 camadas inteligentes, não de forma genérica:</w:t>
      </w:r>
    </w:p>
    <w:bookmarkStart w:id="29" w:name="camada-1-memória-semântica-embeddings"/>
    <w:p>
      <w:pPr>
        <w:pStyle w:val="Heading3"/>
      </w:pPr>
      <w:r>
        <w:t xml:space="preserve">Camada 1 — Memória Semântica (Embeddings)</w:t>
      </w:r>
    </w:p>
    <w:p>
      <w:pPr>
        <w:pStyle w:val="FirstParagraph"/>
      </w:pPr>
      <w:r>
        <w:t xml:space="preserve">O modelo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 </w:t>
      </w:r>
      <w:r>
        <w:t xml:space="preserve">da OpenAI vetorizou os</w:t>
      </w:r>
      <w:r>
        <w:t xml:space="preserve"> </w:t>
      </w:r>
      <w:r>
        <w:rPr>
          <w:bCs/>
          <w:b/>
        </w:rPr>
        <w:t xml:space="preserve">1.332 CNAEs</w:t>
      </w:r>
      <w:r>
        <w:t xml:space="preserve"> </w:t>
      </w:r>
      <w:r>
        <w:t xml:space="preserve">da tabela IBGE. A busca usa similaridade de cosseno com multi-query e merge em 2 camadas. Esta é a maior inovação técnica da plataforma: resolve o problema crítico de mercado de identificação correta de atividade econômica sem depender de código exato.</w:t>
      </w:r>
    </w:p>
    <w:p>
      <w:pPr>
        <w:pStyle w:val="BodyText"/>
      </w:pPr>
      <w:r>
        <w:rPr>
          <w:bCs/>
          <w:b/>
        </w:rPr>
        <w:t xml:space="preserve">Fallback semântico:</w:t>
      </w:r>
      <w:r>
        <w:t xml:space="preserve"> </w:t>
      </w:r>
      <w:r>
        <w:t xml:space="preserve">Se o GPT-4.1 não responder em 25 segundos na extração de CNAEs, o sistema retorna automaticamente os top-5 CNAEs por similaridade de cosseno do cache de embeddings. O frontend exibe um banner amber informativo.</w:t>
      </w:r>
    </w:p>
    <w:bookmarkEnd w:id="29"/>
    <w:bookmarkStart w:id="30" w:name="camada-2-rag-jurídico"/>
    <w:p>
      <w:pPr>
        <w:pStyle w:val="Heading3"/>
      </w:pPr>
      <w:r>
        <w:t xml:space="preserve">Camada 2 — RAG Jurídico</w:t>
      </w:r>
    </w:p>
    <w:p>
      <w:pPr>
        <w:pStyle w:val="FirstParagraph"/>
      </w:pPr>
      <w:r>
        <w:t xml:space="preserve">O corpus RAG contém</w:t>
      </w:r>
      <w:r>
        <w:t xml:space="preserve"> </w:t>
      </w:r>
      <w:r>
        <w:rPr>
          <w:bCs/>
          <w:b/>
        </w:rPr>
        <w:t xml:space="preserve">1.241 documentos</w:t>
      </w:r>
      <w:r>
        <w:t xml:space="preserve"> </w:t>
      </w:r>
      <w:r>
        <w:t xml:space="preserve">— artigos legais da EC 132, LC 214, LC 227, LC 224, instruções normativas e cartilhas da Receita Federal. A busca usa estratégia híbrida (LIKE + re-ranking semântico) com temperatura 0.0 para precisão máxima. Isso garante redução de alucinação, auditabilidade e base jurídica defensável.</w:t>
      </w:r>
    </w:p>
    <w:bookmarkEnd w:id="30"/>
    <w:bookmarkStart w:id="31" w:name="camada-3-llm-gpt-4.1"/>
    <w:p>
      <w:pPr>
        <w:pStyle w:val="Heading3"/>
      </w:pPr>
      <w:r>
        <w:t xml:space="preserve">Camada 3 — LLM (GPT-4.1)</w:t>
      </w:r>
    </w:p>
    <w:p>
      <w:pPr>
        <w:pStyle w:val="FirstParagraph"/>
      </w:pPr>
      <w:r>
        <w:t xml:space="preserve">O GPT-4.1 é responsável por 7 pontos críticos do pipeline, sempre com controle rigoroso: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Extração de CNAEs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extractCnaes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25s (com fallback)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Refinamento de CNAEs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refineCnaes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Geração de questionário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Geração de briefing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generateBriefing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Geração de matrizes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generateRiskMatrices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Geração do plano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generateActionPlan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Decisão executiva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180s</w:t>
            </w:r>
          </w:p>
        </w:tc>
      </w:tr>
    </w:tbl>
    <w:p>
      <w:pPr>
        <w:pStyle w:val="BodyText"/>
      </w:pPr>
      <w:r>
        <w:t xml:space="preserve">Todos os outputs são validados por schema Zod antes de persistência. Retry automático em caso de falha.</w:t>
      </w:r>
    </w:p>
    <w:bookmarkEnd w:id="31"/>
    <w:bookmarkStart w:id="32" w:name="camada-4-motor-determinístico"/>
    <w:p>
      <w:pPr>
        <w:pStyle w:val="Heading3"/>
      </w:pPr>
      <w:r>
        <w:t xml:space="preserve">Camada 4 — Motor Determinístico</w:t>
      </w:r>
    </w:p>
    <w:p>
      <w:pPr>
        <w:pStyle w:val="FirstParagraph"/>
      </w:pPr>
      <w:r>
        <w:t xml:space="preserve">O scoring de risco, impacto financeiro e classificação de gaps são</w:t>
      </w:r>
      <w:r>
        <w:t xml:space="preserve"> </w:t>
      </w:r>
      <w:r>
        <w:rPr>
          <w:bCs/>
          <w:b/>
        </w:rPr>
        <w:t xml:space="preserve">calculados deterministicamente</w:t>
      </w:r>
      <w:r>
        <w:t xml:space="preserve">, não inferidos pela IA. Isso é crítico: a plataforma não depende da IA para decisões finais.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motores-de-negócio-implementados"/>
    <w:p>
      <w:pPr>
        <w:pStyle w:val="Heading2"/>
      </w:pPr>
      <w:r>
        <w:t xml:space="preserve">5. Motores de Negócio Implementados</w:t>
      </w:r>
    </w:p>
    <w:bookmarkStart w:id="34" w:name="gap-engine"/>
    <w:p>
      <w:pPr>
        <w:pStyle w:val="Heading3"/>
      </w:pPr>
      <w:r>
        <w:t xml:space="preserve">5.1 Gap Engine</w:t>
      </w:r>
    </w:p>
    <w:p>
      <w:pPr>
        <w:pStyle w:val="FirstParagraph"/>
      </w:pPr>
      <w:r>
        <w:t xml:space="preserve">Transforma respostas do assessment em gaps auditáveis. Todo gap nasce de um requisito regulatório e de evidências do assessment.</w:t>
      </w:r>
    </w:p>
    <w:p>
      <w:pPr>
        <w:pStyle w:val="SourceCode"/>
      </w:pPr>
      <w:r>
        <w:rPr>
          <w:rStyle w:val="VerbatimChar"/>
        </w:rPr>
        <w:t xml:space="preserve">score = round((compliant + 0.5×parcial) / total_aplicavel × 100)</w:t>
      </w:r>
      <w:r>
        <w:br/>
      </w:r>
      <w:r>
        <w:br/>
      </w:r>
      <w:r>
        <w:rPr>
          <w:rStyle w:val="VerbatimChar"/>
        </w:rPr>
        <w:t xml:space="preserve">Resposta "sim"           → compliant</w:t>
      </w:r>
      <w:r>
        <w:br/>
      </w:r>
      <w:r>
        <w:rPr>
          <w:rStyle w:val="VerbatimChar"/>
        </w:rPr>
        <w:t xml:space="preserve">Resposta "nao"           → nao_compliant + severity alta</w:t>
      </w:r>
      <w:r>
        <w:br/>
      </w:r>
      <w:r>
        <w:rPr>
          <w:rStyle w:val="VerbatimChar"/>
        </w:rPr>
        <w:t xml:space="preserve">Resposta "parcial"       → parcial + severity media</w:t>
      </w:r>
      <w:r>
        <w:br/>
      </w:r>
      <w:r>
        <w:rPr>
          <w:rStyle w:val="VerbatimChar"/>
        </w:rPr>
        <w:t xml:space="preserve">Resposta "nao_aplicavel" → excluído do score</w:t>
      </w:r>
    </w:p>
    <w:p>
      <w:pPr>
        <w:pStyle w:val="FirstParagraph"/>
      </w:pPr>
      <w:r>
        <w:rPr>
          <w:bCs/>
          <w:b/>
        </w:rPr>
        <w:t xml:space="preserve">Modelo de gap implementado: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requisito_id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canônico de origem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dos 9 domínios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normativo, processo, sistema, cadastro, contrato, fiscal, acessoria, governanca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status_atendimento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atendido, parcialmente_atendido, nao_atendido, inconclusivo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nivel_gap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estrategico, tatico, operacional, tecnico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critico, alto, medio, 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Confiança da classificação (0–1)</w:t>
            </w:r>
          </w:p>
        </w:tc>
      </w:tr>
    </w:tbl>
    <w:bookmarkEnd w:id="34"/>
    <w:bookmarkStart w:id="35" w:name="risk-engine"/>
    <w:p>
      <w:pPr>
        <w:pStyle w:val="Heading3"/>
      </w:pPr>
      <w:r>
        <w:t xml:space="preserve">5.2 Risk Engine</w:t>
      </w:r>
    </w:p>
    <w:p>
      <w:pPr>
        <w:pStyle w:val="FirstParagraph"/>
      </w:pPr>
      <w:r>
        <w:t xml:space="preserve">Deriva a matriz de riscos a partir dos gaps formalizados — não de inferência aberta da IA.</w:t>
      </w:r>
    </w:p>
    <w:p>
      <w:pPr>
        <w:pStyle w:val="SourceCode"/>
      </w:pPr>
      <w:r>
        <w:rPr>
          <w:rStyle w:val="VerbatimChar"/>
        </w:rPr>
        <w:t xml:space="preserve">Regra: gap → risco</w:t>
      </w:r>
      <w:r>
        <w:br/>
      </w:r>
      <w:r>
        <w:br/>
      </w:r>
      <w:r>
        <w:rPr>
          <w:rStyle w:val="VerbatimChar"/>
        </w:rPr>
        <w:t xml:space="preserve">base_score:</w:t>
      </w:r>
      <w:r>
        <w:br/>
      </w:r>
      <w:r>
        <w:rPr>
          <w:rStyle w:val="VerbatimChar"/>
        </w:rPr>
        <w:t xml:space="preserve">  obrigacao/vedacao + critica = 100 | alta = 80 | media = 60 | baixa = 40</w:t>
      </w:r>
      <w:r>
        <w:br/>
      </w:r>
      <w:r>
        <w:rPr>
          <w:rStyle w:val="VerbatimChar"/>
        </w:rPr>
        <w:t xml:space="preserve">  direito           + critica = 70  | alta = 50 | media = 35 | baixa = 20</w:t>
      </w:r>
      <w:r>
        <w:br/>
      </w:r>
      <w:r>
        <w:rPr>
          <w:rStyle w:val="VerbatimChar"/>
        </w:rPr>
        <w:t xml:space="preserve">  opcao             + critica = 45  | alta = 30 | media = 20 | baixa = 15</w:t>
      </w:r>
      <w:r>
        <w:br/>
      </w:r>
      <w:r>
        <w:br/>
      </w:r>
      <w:r>
        <w:rPr>
          <w:rStyle w:val="VerbatimChar"/>
        </w:rPr>
        <w:t xml:space="preserve">gap_multiplier:</w:t>
      </w:r>
      <w:r>
        <w:br/>
      </w:r>
      <w:r>
        <w:rPr>
          <w:rStyle w:val="VerbatimChar"/>
        </w:rPr>
        <w:t xml:space="preserve">  nao_compliant = 1.0 | parcial = 0.5 | compliant = 0 | nao_aplicavel = 0</w:t>
      </w:r>
      <w:r>
        <w:br/>
      </w:r>
      <w:r>
        <w:br/>
      </w:r>
      <w:r>
        <w:rPr>
          <w:rStyle w:val="VerbatimChar"/>
        </w:rPr>
        <w:t xml:space="preserve">risk_score = base_score × gap_multiplier (cap: 100)</w:t>
      </w:r>
      <w:r>
        <w:br/>
      </w:r>
      <w:r>
        <w:br/>
      </w:r>
      <w:r>
        <w:rPr>
          <w:rStyle w:val="VerbatimChar"/>
        </w:rPr>
        <w:t xml:space="preserve">risk_level:</w:t>
      </w:r>
      <w:r>
        <w:br/>
      </w:r>
      <w:r>
        <w:rPr>
          <w:rStyle w:val="VerbatimChar"/>
        </w:rPr>
        <w:t xml:space="preserve">  critico (≥70) | alto (50–69) | medio (25–49) | baixo (0–24)</w:t>
      </w:r>
    </w:p>
    <w:bookmarkEnd w:id="35"/>
    <w:bookmarkStart w:id="36" w:name="consistency-engine"/>
    <w:p>
      <w:pPr>
        <w:pStyle w:val="Heading3"/>
      </w:pPr>
      <w:r>
        <w:t xml:space="preserve">5.3 Consistency Engine</w:t>
      </w:r>
    </w:p>
    <w:p>
      <w:pPr>
        <w:pStyle w:val="FirstParagraph"/>
      </w:pPr>
      <w:r>
        <w:t xml:space="preserve">Implementado na Sprint v5.2.0. Realiza análise determinística e IA de consistência dos dados do projeto antes de permitir o avanço para o diagnóstico:</w:t>
      </w:r>
    </w:p>
    <w:p>
      <w:pPr>
        <w:pStyle w:val="BodyText"/>
      </w:pPr>
      <w:r>
        <w:rPr>
          <w:bCs/>
          <w:b/>
        </w:rPr>
        <w:t xml:space="preserve">Análise determinística:</w:t>
      </w:r>
      <w:r>
        <w:t xml:space="preserve"> </w:t>
      </w:r>
      <w:r>
        <w:t xml:space="preserve">Faturamento vs. porte declarado, regime tributário vs. faturamento, número de funcionários vs. porte, CNAE vs. setor declarado.</w:t>
      </w:r>
    </w:p>
    <w:p>
      <w:pPr>
        <w:pStyle w:val="BodyText"/>
      </w:pPr>
      <w:r>
        <w:rPr>
          <w:bCs/>
          <w:b/>
        </w:rPr>
        <w:t xml:space="preserve">Análise IA (GPT-4.1):</w:t>
      </w:r>
      <w:r>
        <w:t xml:space="preserve"> </w:t>
      </w:r>
      <w:r>
        <w:t xml:space="preserve">Consistência entre perfil e atividades, coerência dos dados financeiros, identificação de inconsistências sutis.</w:t>
      </w:r>
    </w:p>
    <w:p>
      <w:pPr>
        <w:pStyle w:val="BodyText"/>
      </w:pPr>
      <w:r>
        <w:rPr>
          <w:bCs/>
          <w:b/>
        </w:rPr>
        <w:t xml:space="preserve">Gate de consistência: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→ bloqueia diagnóstico (usuário deve corrigir)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→ exige confirmação explícita (</w:t>
      </w:r>
      <w:r>
        <w:t xml:space="preserve">“</w:t>
      </w:r>
      <w:r>
        <w:t xml:space="preserve">assumir risco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medium/low</w:t>
      </w:r>
      <w:r>
        <w:t xml:space="preserve"> </w:t>
      </w:r>
      <w:r>
        <w:t xml:space="preserve">→ exibe aviso, não bloqueia</w:t>
      </w:r>
    </w:p>
    <w:bookmarkEnd w:id="36"/>
    <w:bookmarkStart w:id="37" w:name="plano-de-ação-com-tarefas-atômicas"/>
    <w:p>
      <w:pPr>
        <w:pStyle w:val="Heading3"/>
      </w:pPr>
      <w:r>
        <w:t xml:space="preserve">5.4 Plano de Ação com Tarefas Atômicas</w:t>
      </w:r>
    </w:p>
    <w:p>
      <w:pPr>
        <w:pStyle w:val="FirstParagraph"/>
      </w:pPr>
      <w:r>
        <w:t xml:space="preserve">O plano de ação é derivado dos riscos aprovados, no menor nível viável de tarefa. A rastreabilidade é completa:</w:t>
      </w:r>
      <w:r>
        <w:t xml:space="preserve"> </w:t>
      </w:r>
      <w:r>
        <w:rPr>
          <w:rStyle w:val="VerbatimChar"/>
        </w:rPr>
        <w:t xml:space="preserve">requisito → gap → risco → ação → tarefa atômica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Modelo de tarefa atômica implementado: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requisito_id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canônico de origem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que originou a 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 que originou a tarefa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tipo_tarefa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configuracao_erp, ajuste_cadastro, revisao_contrato, parametrizacao_fiscal, treinamento,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responsável (TI, Fiscal, Jurídico,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responsavel_sugerido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sugerido pelo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prazo_sugerido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 em 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criterio_conclusao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objetivo de conclusão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evidencia_esperada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 documental esperada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arquitetura-de-diagnóstico-dual-v1v3"/>
    <w:p>
      <w:pPr>
        <w:pStyle w:val="Heading2"/>
      </w:pPr>
      <w:r>
        <w:t xml:space="preserve">6. Arquitetura de Diagnóstico Dual V1/V3</w:t>
      </w:r>
    </w:p>
    <w:bookmarkStart w:id="39" w:name="contexto-e-decisão"/>
    <w:p>
      <w:pPr>
        <w:pStyle w:val="Heading3"/>
      </w:pPr>
      <w:r>
        <w:t xml:space="preserve">6.1 Contexto e Decisão</w:t>
      </w:r>
    </w:p>
    <w:p>
      <w:pPr>
        <w:pStyle w:val="FirstParagraph"/>
      </w:pPr>
      <w:r>
        <w:t xml:space="preserve">Durante a implementação do fluxo V3 (requisitos canônicos), surgiu o desafio de manter compatibilidade com os</w:t>
      </w:r>
      <w:r>
        <w:t xml:space="preserve"> </w:t>
      </w:r>
      <w:r>
        <w:rPr>
          <w:bCs/>
          <w:b/>
        </w:rPr>
        <w:t xml:space="preserve">2.145 projetos existentes</w:t>
      </w:r>
      <w:r>
        <w:t xml:space="preserve"> </w:t>
      </w:r>
      <w:r>
        <w:t xml:space="preserve">criados no fluxo V1 (centrado em CNAE). A decisão arquitetural (ADR-005) foi manter os dois motores coexistentes com um adaptador unificado de leitura.</w:t>
      </w:r>
    </w:p>
    <w:bookmarkEnd w:id="39"/>
    <w:bookmarkStart w:id="40" w:name="o-adaptador-getdiagnosticsource"/>
    <w:p>
      <w:pPr>
        <w:pStyle w:val="Heading3"/>
      </w:pPr>
      <w:r>
        <w:t xml:space="preserve">6.2 O Adaptador</w:t>
      </w:r>
      <w:r>
        <w:t xml:space="preserve"> </w:t>
      </w:r>
      <w:r>
        <w:rPr>
          <w:rStyle w:val="VerbatimChar"/>
        </w:rPr>
        <w:t xml:space="preserve">getDiagnosticSource()</w:t>
      </w:r>
    </w:p>
    <w:p>
      <w:pPr>
        <w:pStyle w:val="FirstParagraph"/>
      </w:pPr>
      <w:r>
        <w:rPr>
          <w:bCs/>
          <w:b/>
        </w:rPr>
        <w:t xml:space="preserve">Regra de ouro:</w:t>
      </w:r>
      <w:r>
        <w:t xml:space="preserve"> </w:t>
      </w:r>
      <w:r>
        <w:t xml:space="preserve">Toda leitura de dados de diagnóstico deve passar por este adaptador. Nunca acessar as colunas de diagnóstico diretamente.</w:t>
      </w:r>
    </w:p>
    <w:p>
      <w:pPr>
        <w:pStyle w:val="BodyText"/>
      </w:pPr>
      <w:r>
        <w:t xml:space="preserve">O adaptador verifica o campo</w:t>
      </w:r>
      <w:r>
        <w:t xml:space="preserve"> </w:t>
      </w:r>
      <w:r>
        <w:rPr>
          <w:rStyle w:val="VerbatimChar"/>
        </w:rPr>
        <w:t xml:space="preserve">flowVersion</w:t>
      </w:r>
      <w:r>
        <w:t xml:space="preserve"> </w:t>
      </w:r>
      <w:r>
        <w:t xml:space="preserve">do projeto e retorna os dados do motor correto (V1 ou V3), normalizando a interface para o consumidor. Isso permite que o frontend e os routers usem sempre a mesma interface, independentemente do motor subjacente.</w:t>
      </w:r>
    </w:p>
    <w:bookmarkEnd w:id="40"/>
    <w:bookmarkStart w:id="41" w:name="fases-de-implementação"/>
    <w:p>
      <w:pPr>
        <w:pStyle w:val="Heading3"/>
      </w:pPr>
      <w:r>
        <w:t xml:space="preserve">6.3 Fases de Implementação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Criação do</w:t>
            </w:r>
            <w:r>
              <w:t xml:space="preserve"> </w:t>
            </w:r>
            <w:r>
              <w:rPr>
                <w:rStyle w:val="VerbatimChar"/>
              </w:rPr>
              <w:t xml:space="preserve">diagnostic-source.ts</w:t>
            </w:r>
            <w:r>
              <w:t xml:space="preserve"> </w:t>
            </w:r>
            <w:r>
              <w:t xml:space="preserve">+ 75 testes unitários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F-02A–D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Migração de 121 leituras diretas para o adaptador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de limpeza no retrocesso (</w:t>
            </w:r>
            <w:r>
              <w:rPr>
                <w:rStyle w:val="VerbatimChar"/>
              </w:rPr>
              <w:t xml:space="preserve">retrocesso-cleanup.ts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Estratégia de migração de schema (ADR-008)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Em implementação</w:t>
            </w:r>
          </w:p>
        </w:tc>
      </w:tr>
    </w:tbl>
    <w:bookmarkEnd w:id="41"/>
    <w:bookmarkStart w:id="42" w:name="gate-de-retrocesso-adr-007"/>
    <w:p>
      <w:pPr>
        <w:pStyle w:val="Heading3"/>
      </w:pPr>
      <w:r>
        <w:t xml:space="preserve">6.4 Gate de Retrocesso (ADR-007)</w:t>
      </w:r>
    </w:p>
    <w:p>
      <w:pPr>
        <w:pStyle w:val="FirstParagraph"/>
      </w:pPr>
      <w:r>
        <w:t xml:space="preserve">Ao retroceder da Etapa N para N-1, o sistema executa</w:t>
      </w:r>
      <w:r>
        <w:t xml:space="preserve"> </w:t>
      </w:r>
      <w:r>
        <w:rPr>
          <w:rStyle w:val="VerbatimChar"/>
        </w:rPr>
        <w:t xml:space="preserve">cleanupOnRetrocesso()</w:t>
      </w:r>
      <w:r>
        <w:t xml:space="preserve"> </w:t>
      </w:r>
      <w:r>
        <w:t xml:space="preserve">automaticamente. O gate remove fisicamente os dados gerados pela IA na etapa abandonada, registra a operação em</w:t>
      </w:r>
      <w:r>
        <w:t xml:space="preserve"> </w:t>
      </w:r>
      <w:r>
        <w:rPr>
          <w:rStyle w:val="VerbatimChar"/>
        </w:rPr>
        <w:t xml:space="preserve">projectAuditLog</w:t>
      </w:r>
      <w:r>
        <w:t xml:space="preserve"> </w:t>
      </w:r>
      <w:r>
        <w:t xml:space="preserve">e exibe modal de confirmação ao usuário. Isso garante que não existam dados</w:t>
      </w:r>
      <w:r>
        <w:t xml:space="preserve"> </w:t>
      </w:r>
      <w:r>
        <w:t xml:space="preserve">“</w:t>
      </w:r>
      <w:r>
        <w:t xml:space="preserve">órfãos</w:t>
      </w:r>
      <w:r>
        <w:t xml:space="preserve">”</w:t>
      </w:r>
      <w:r>
        <w:t xml:space="preserve"> </w:t>
      </w:r>
      <w:r>
        <w:t xml:space="preserve">de etapas abandonadas que possam contaminar diagnósticos futuros.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shadow-mode-protocolo-de-migração"/>
    <w:p>
      <w:pPr>
        <w:pStyle w:val="Heading2"/>
      </w:pPr>
      <w:r>
        <w:t xml:space="preserve">7. Shadow Mode — Protocolo de Migração</w:t>
      </w:r>
    </w:p>
    <w:bookmarkStart w:id="44" w:name="a-variável-de-controle"/>
    <w:p>
      <w:pPr>
        <w:pStyle w:val="Heading3"/>
      </w:pPr>
      <w:r>
        <w:t xml:space="preserve">7.1 A Variável de Controle</w:t>
      </w:r>
    </w:p>
    <w:p>
      <w:pPr>
        <w:pStyle w:val="FirstParagraph"/>
      </w:pPr>
      <w:r>
        <w:t xml:space="preserve">A variável de ambiente</w:t>
      </w:r>
      <w:r>
        <w:t xml:space="preserve"> </w:t>
      </w:r>
      <w:r>
        <w:rPr>
          <w:rStyle w:val="VerbatimChar"/>
        </w:rPr>
        <w:t xml:space="preserve">DIAGNOSTIC_READ_MODE</w:t>
      </w:r>
      <w:r>
        <w:t xml:space="preserve"> </w:t>
      </w:r>
      <w:r>
        <w:t xml:space="preserve">controla qual motor serve os dados de diagnóstico: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V1.</w:t>
            </w:r>
            <w:r>
              <w:t xml:space="preserve"> </w:t>
            </w:r>
            <w:r>
              <w:rPr>
                <w:bCs/>
                <w:b/>
              </w:rPr>
              <w:t xml:space="preserve">Padrão de produção atual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da migração 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+ V3 em paralelo. V1 retornado ao usuário. Divergências registradas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Durante o período de 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Após UAT aprovado e 0 divergências críticas</w:t>
            </w:r>
          </w:p>
        </w:tc>
      </w:tr>
    </w:tbl>
    <w:bookmarkEnd w:id="44"/>
    <w:bookmarkStart w:id="45" w:name="X061915783802bcf9e3c8b5846f85ecf71633de2"/>
    <w:p>
      <w:pPr>
        <w:pStyle w:val="Heading3"/>
      </w:pPr>
      <w:r>
        <w:t xml:space="preserve">7.2 Estado Atual do Shadow Monitor (23/03/2026 — T=0)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 divergências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Baseline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Divergências críticas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Seguro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Conflitos reais (ambos com valores diferentes)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Seguro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Projetos afetados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de 2.145 (1,8%)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de divergência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legado tem valor, nova é null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Esperado (projetos pré-v2.1)</w:t>
            </w:r>
          </w:p>
        </w:tc>
      </w:tr>
    </w:tbl>
    <w:bookmarkEnd w:id="45"/>
    <w:bookmarkStart w:id="46" w:name="critérios-para-ativar-o-modo-new"/>
    <w:p>
      <w:pPr>
        <w:pStyle w:val="Heading3"/>
      </w:pPr>
      <w:r>
        <w:t xml:space="preserve">7.3 Critérios para Ativar o Modo</w:t>
      </w:r>
      <w:r>
        <w:t xml:space="preserve"> </w:t>
      </w:r>
      <w:r>
        <w:rPr>
          <w:rStyle w:val="VerbatimChar"/>
        </w:rPr>
        <w:t xml:space="preserve">new</w:t>
      </w:r>
    </w:p>
    <w:p>
      <w:pPr>
        <w:numPr>
          <w:ilvl w:val="0"/>
          <w:numId w:val="1002"/>
        </w:numPr>
        <w:pStyle w:val="Compact"/>
      </w:pPr>
      <w:r>
        <w:t xml:space="preserve">0 divergências críticas (tipo</w:t>
      </w:r>
      <w:r>
        <w:t xml:space="preserve"> </w:t>
      </w:r>
      <w:r>
        <w:t xml:space="preserve">“</w:t>
      </w:r>
      <w:r>
        <w:t xml:space="preserve">ambos com valores diferentes</w:t>
      </w:r>
      <w:r>
        <w:t xml:space="preserve">”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0 projetos</w:t>
      </w:r>
      <w:r>
        <w:t xml:space="preserve"> </w:t>
      </w:r>
      <w:r>
        <w:rPr>
          <w:rStyle w:val="VerbatimChar"/>
        </w:rPr>
        <w:t xml:space="preserve">[UAT]</w:t>
      </w:r>
      <w:r>
        <w:t xml:space="preserve"> </w:t>
      </w:r>
      <w:r>
        <w:t xml:space="preserve">com divergência</w:t>
      </w:r>
    </w:p>
    <w:p>
      <w:pPr>
        <w:numPr>
          <w:ilvl w:val="0"/>
          <w:numId w:val="1002"/>
        </w:numPr>
        <w:pStyle w:val="Compact"/>
      </w:pPr>
      <w:r>
        <w:t xml:space="preserve">Total de divergências ≤ 288 (5% acima do baseline)</w:t>
      </w:r>
    </w:p>
    <w:p>
      <w:pPr>
        <w:numPr>
          <w:ilvl w:val="0"/>
          <w:numId w:val="1002"/>
        </w:numPr>
        <w:pStyle w:val="Compact"/>
      </w:pPr>
      <w:r>
        <w:t xml:space="preserve">UAT aprovado (≥ 80% de aprovação nos 8 cenários, feedback jurídico positivo)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suite-de-validação-automatizada"/>
    <w:p>
      <w:pPr>
        <w:pStyle w:val="Heading2"/>
      </w:pPr>
      <w:r>
        <w:t xml:space="preserve">8. Suite de Validação Automatizada</w:t>
      </w:r>
    </w:p>
    <w:bookmarkStart w:id="48" w:name="visão-geral"/>
    <w:p>
      <w:pPr>
        <w:pStyle w:val="Heading3"/>
      </w:pPr>
      <w:r>
        <w:t xml:space="preserve">8.1 Visão Geral</w:t>
      </w:r>
    </w:p>
    <w:p>
      <w:pPr>
        <w:pStyle w:val="FirstParagraph"/>
      </w:pPr>
      <w:r>
        <w:t xml:space="preserve">A plataforma possui</w:t>
      </w:r>
      <w:r>
        <w:t xml:space="preserve"> </w:t>
      </w:r>
      <w:r>
        <w:rPr>
          <w:bCs/>
          <w:b/>
        </w:rPr>
        <w:t xml:space="preserve">107 testes automatizados</w:t>
      </w:r>
      <w:r>
        <w:t xml:space="preserve"> </w:t>
      </w:r>
      <w:r>
        <w:t xml:space="preserve">organizados em duas ondas de stress e integração, todos passando em produção: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Onda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T01–T10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Criação paralela, race conditions, retrocesso, persistência, limpeza, leituras concorrentes, integridade, auditoria, permissões,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Onda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T11–T14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projetos em paralelo, race conditions extremas, integridade de CNAEs e respostas, retrocesso múltiplo acumulado, loop adversarial 10x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107 / 107 ✅</w:t>
            </w:r>
          </w:p>
        </w:tc>
      </w:tr>
    </w:tbl>
    <w:bookmarkEnd w:id="48"/>
    <w:bookmarkStart w:id="49" w:name="X4b54331b701e1bf0ac2d6129f57552f382c1463"/>
    <w:p>
      <w:pPr>
        <w:pStyle w:val="Heading3"/>
      </w:pPr>
      <w:r>
        <w:t xml:space="preserve">8.2 Métricas de Performance (Baseline 23/03/2026)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Medido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Aceitável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projetos criados em paralelo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updates concorrentes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 inserts CNAE em paralelo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Retrocesso loop adversarial 10x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Deadlocks detectados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Corrupções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49"/>
    <w:bookmarkStart w:id="50" w:name="lições-técnicas-da-onda-2"/>
    <w:p>
      <w:pPr>
        <w:pStyle w:val="Heading3"/>
      </w:pPr>
      <w:r>
        <w:t xml:space="preserve">8.3 Lições Técnicas da Onda 2</w:t>
      </w:r>
    </w:p>
    <w:p>
      <w:pPr>
        <w:pStyle w:val="FirstParagraph"/>
      </w:pPr>
      <w:r>
        <w:t xml:space="preserve">Durante a implementação da Onda 2, três problemas foram identificados e corrigidos, gerando novos padrões de código obrigatórios:</w:t>
      </w:r>
    </w:p>
    <w:p>
      <w:pPr>
        <w:pStyle w:val="BodyText"/>
      </w:pPr>
      <w:r>
        <w:rPr>
          <w:bCs/>
          <w:b/>
        </w:rPr>
        <w:t xml:space="preserve">Problema 1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createConnection</w:t>
      </w:r>
      <w:r>
        <w:rPr>
          <w:bCs/>
          <w:b/>
        </w:rPr>
        <w:t xml:space="preserve"> </w:t>
      </w:r>
      <w:r>
        <w:rPr>
          <w:bCs/>
          <w:b/>
        </w:rPr>
        <w:t xml:space="preserve">vs. </w:t>
      </w:r>
      <w:r>
        <w:rPr>
          <w:rStyle w:val="VerbatimChar"/>
          <w:bCs/>
          <w:b/>
        </w:rPr>
        <w:t xml:space="preserve">createPool</w:t>
      </w:r>
      <w:r>
        <w:rPr>
          <w:bCs/>
          <w:b/>
        </w:rPr>
        <w:t xml:space="preserve">:</w:t>
      </w:r>
      <w:r>
        <w:t xml:space="preserve"> </w:t>
      </w:r>
      <w:r>
        <w:t xml:space="preserve">Testes que usavam</w:t>
      </w:r>
      <w:r>
        <w:t xml:space="preserve"> </w:t>
      </w:r>
      <w:r>
        <w:rPr>
          <w:rStyle w:val="VerbatimChar"/>
        </w:rPr>
        <w:t xml:space="preserve">createConnection</w:t>
      </w:r>
      <w:r>
        <w:t xml:space="preserve"> </w:t>
      </w:r>
      <w:r>
        <w:t xml:space="preserve">causavam conflitos quando múltiplos arquivos rodavam em paralelo. Solução: todos os testes de banco usam</w:t>
      </w:r>
      <w:r>
        <w:t xml:space="preserve"> </w:t>
      </w:r>
      <w:r>
        <w:rPr>
          <w:rStyle w:val="VerbatimChar"/>
        </w:rPr>
        <w:t xml:space="preserve">createPool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connectionLimit: 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Problema 2 — JSON nativo do mysql2:</w:t>
      </w:r>
      <w:r>
        <w:t xml:space="preserve"> </w:t>
      </w:r>
      <w:r>
        <w:t xml:space="preserve">O driver mysql2 retorna colunas JSON como objetos JavaScript nativos, não como strings. Chamar</w:t>
      </w:r>
      <w:r>
        <w:t xml:space="preserve"> </w:t>
      </w:r>
      <w:r>
        <w:rPr>
          <w:rStyle w:val="VerbatimChar"/>
        </w:rPr>
        <w:t xml:space="preserve">JSON.parse()</w:t>
      </w:r>
      <w:r>
        <w:t xml:space="preserve"> </w:t>
      </w:r>
      <w:r>
        <w:t xml:space="preserve">em valores já parseados causava</w:t>
      </w:r>
      <w:r>
        <w:t xml:space="preserve"> </w:t>
      </w:r>
      <w:r>
        <w:t xml:space="preserve">“</w:t>
      </w:r>
      <w:r>
        <w:t xml:space="preserve">Unexpected end of JSON input</w:t>
      </w:r>
      <w:r>
        <w:t xml:space="preserve">”</w:t>
      </w:r>
      <w:r>
        <w:t xml:space="preserve">. Solução: sempre verificar</w:t>
      </w:r>
      <w:r>
        <w:t xml:space="preserve"> </w:t>
      </w:r>
      <w:r>
        <w:rPr>
          <w:rStyle w:val="VerbatimChar"/>
        </w:rPr>
        <w:t xml:space="preserve">typeof value === "string"</w:t>
      </w:r>
      <w:r>
        <w:t xml:space="preserve"> </w:t>
      </w:r>
      <w:r>
        <w:t xml:space="preserve">antes de parsear.</w:t>
      </w:r>
    </w:p>
    <w:p>
      <w:pPr>
        <w:pStyle w:val="BodyText"/>
      </w:pPr>
      <w:r>
        <w:rPr>
          <w:bCs/>
          <w:b/>
        </w:rPr>
        <w:t xml:space="preserve">Problema 3 — Schema divergente:</w:t>
      </w:r>
      <w:r>
        <w:t xml:space="preserve"> </w:t>
      </w:r>
      <w:r>
        <w:t xml:space="preserve">Os testes foram escritos para um schema que ainda não havia sido migrado (colunas</w:t>
      </w:r>
      <w:r>
        <w:t xml:space="preserve"> </w:t>
      </w:r>
      <w:r>
        <w:rPr>
          <w:rStyle w:val="VerbatimChar"/>
        </w:rPr>
        <w:t xml:space="preserve">flowVersion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revenueRange</w:t>
      </w:r>
      <w:r>
        <w:t xml:space="preserve">, etc. inexistentes no banco de produção). Solução: sempre verificar o schema real do banco antes de escrever testes.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Xdea9c946a2f12c2beb2f785f9c04732f2bf4771"/>
    <w:p>
      <w:pPr>
        <w:pStyle w:val="Heading2"/>
      </w:pPr>
      <w:r>
        <w:t xml:space="preserve">9. Estado Atual da Plataforma (Métricas de Produção)</w:t>
      </w:r>
    </w:p>
    <w:bookmarkStart w:id="52" w:name="métricas-do-banco-de-dados"/>
    <w:p>
      <w:pPr>
        <w:pStyle w:val="Heading3"/>
      </w:pPr>
      <w:r>
        <w:t xml:space="preserve">9.1 Métricas do Banco de Dados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Projetos criados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Usuários cadastrados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CNAEs com 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1.332 / 1.332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Documentos no corpus 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Tabelas no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</w:tbl>
    <w:bookmarkEnd w:id="52"/>
    <w:bookmarkStart w:id="53" w:name="métricas-de-qualidade"/>
    <w:p>
      <w:pPr>
        <w:pStyle w:val="Heading3"/>
      </w:pPr>
      <w:r>
        <w:t xml:space="preserve">9.2 Métricas de Qualidade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Testes automatizados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 / 107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Arquivos de 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TypeScript:</w:t>
            </w:r>
            <w:r>
              <w:t xml:space="preserve"> </w:t>
            </w:r>
            <w:r>
              <w:rPr>
                <w:rStyle w:val="VerbatimChar"/>
              </w:rPr>
              <w:t xml:space="preserve">tsc --noEmit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0 (zero erros)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ADRs publicados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Divergências Shadow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274 (0 críticas)</w:t>
            </w:r>
          </w:p>
        </w:tc>
      </w:tr>
    </w:tbl>
    <w:bookmarkEnd w:id="53"/>
    <w:bookmarkStart w:id="54" w:name="checkpoints-de-segurança"/>
    <w:p>
      <w:pPr>
        <w:pStyle w:val="Heading3"/>
      </w:pPr>
      <w:r>
        <w:t xml:space="preserve">9.3 Checkpoints de Segurança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 limpo (tsc Exit 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a45bcead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Documentação v6.0/v5.0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0774db0c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Kit UAT completo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1f079c80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Onda 2 completa (107/107)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d19d193b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Onda 1 completa (75/75)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f10cc327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ADR-007 gate retrocesso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270f5f78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ADR-005 diagnóstico dual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3a49480b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v2.1 Diagnostic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f74273e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Estável</w:t>
            </w:r>
          </w:p>
        </w:tc>
      </w:tr>
    </w:tbl>
    <w:bookmarkEnd w:id="54"/>
    <w:bookmarkStart w:id="55" w:name="documentação-publicada"/>
    <w:p>
      <w:pPr>
        <w:pStyle w:val="Heading3"/>
      </w:pPr>
      <w:r>
        <w:t xml:space="preserve">9.4 Documentação Publicada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Requisitos Funcionais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v6.0 (153 RFs, 24 seções)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docs/product/cpie-v2/produto/REQUISITOS-FUNCIONAIS-v6.md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Documentação IA Generativa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 (23 seções)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docs/product/cpie-v2/produto/DOCUMENTACAO-IA-GENERATIVA-v5.md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Playbook da 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 (15 seções)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docs/product/cpie-v2/produto/PLAYBOOK-DA-PLATAFORMA-v3.md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Guia UAT para Advogados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 (8 cenários)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docs/product/cpie-v2/produto/GUIA-UAT-ADVOGADOS-v2.md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Relatório de Testes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Onda 1+2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docs/product/cpie-v2/produto/RELATORIO-COMPLETO-TESTES-ONDA1-ONDA2-2026-03-23.md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1" w:name="protocolo-uat-com-advogados"/>
    <w:p>
      <w:pPr>
        <w:pStyle w:val="Heading2"/>
      </w:pPr>
      <w:r>
        <w:t xml:space="preserve">10. Protocolo UAT com Advogados</w:t>
      </w:r>
    </w:p>
    <w:bookmarkStart w:id="57" w:name="objetivo"/>
    <w:p>
      <w:pPr>
        <w:pStyle w:val="Heading3"/>
      </w:pPr>
      <w:r>
        <w:t xml:space="preserve">10.1 Objetivo</w:t>
      </w:r>
    </w:p>
    <w:p>
      <w:pPr>
        <w:pStyle w:val="FirstParagraph"/>
      </w:pPr>
      <w:r>
        <w:t xml:space="preserve">Validar com advogados tributaristas que a plataforma produz diagnósticos juridicamente corretos, com linguagem adequada para o público-alvo (advogados e contadores), e que o fluxo V3 (requisitos canônicos) produz resultados superiores ao fluxo V1 (centrado em CNAE).</w:t>
      </w:r>
    </w:p>
    <w:bookmarkEnd w:id="57"/>
    <w:bookmarkStart w:id="58" w:name="cronograma"/>
    <w:p>
      <w:pPr>
        <w:pStyle w:val="Heading3"/>
      </w:pPr>
      <w:r>
        <w:t xml:space="preserve">10.2 Cronograma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+ Cenários 1 e 2 (fluxo completo, retrocesso)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Cenários 3–7 (múltiplos CNAEs, avaliação jurídica do briefing/matrizes/plano)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Cenário 8 (UX) + formulário de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Reunião de revisão + decisão sobre ativar modo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</w:p>
        </w:tc>
      </w:tr>
    </w:tbl>
    <w:bookmarkEnd w:id="58"/>
    <w:bookmarkStart w:id="59" w:name="critérios-de-aprovação-do-uat"/>
    <w:p>
      <w:pPr>
        <w:pStyle w:val="Heading3"/>
      </w:pPr>
      <w:r>
        <w:t xml:space="preserve">10.3 Critérios de Aprovação do UAT</w:t>
      </w:r>
    </w:p>
    <w:p>
      <w:pPr>
        <w:pStyle w:val="FirstParagraph"/>
      </w:pPr>
      <w:r>
        <w:t xml:space="preserve">Para aprovar o UAT e ativar o modo</w:t>
      </w:r>
      <w:r>
        <w:t xml:space="preserve"> </w:t>
      </w:r>
      <w:r>
        <w:rPr>
          <w:rStyle w:val="VerbatimChar"/>
        </w:rPr>
        <w:t xml:space="preserve">new</w:t>
      </w:r>
      <w:r>
        <w:t xml:space="preserve">:</w:t>
      </w:r>
      <w:r>
        <w:t xml:space="preserve"> </w:t>
      </w:r>
      <w:r>
        <w:t xml:space="preserve">- ≥ 80% de aprovação nos 8 cenários de teste</w:t>
      </w:r>
      <w:r>
        <w:t xml:space="preserve"> </w:t>
      </w:r>
      <w:r>
        <w:t xml:space="preserve">- 0 erros críticos de fluxo (bloqueios, perda de dados, inconsistências)</w:t>
      </w:r>
      <w:r>
        <w:t xml:space="preserve"> </w:t>
      </w:r>
      <w:r>
        <w:t xml:space="preserve">- Feedback jurídico positivo sobre a qualidade do briefing e das matrizes</w:t>
      </w:r>
      <w:r>
        <w:t xml:space="preserve"> </w:t>
      </w:r>
      <w:r>
        <w:t xml:space="preserve">- Shadow Monitor: 0 divergências críticas e total ≤ 288</w:t>
      </w:r>
    </w:p>
    <w:bookmarkEnd w:id="59"/>
    <w:bookmarkStart w:id="60" w:name="prefixo-obrigatório"/>
    <w:p>
      <w:pPr>
        <w:pStyle w:val="Heading3"/>
      </w:pPr>
      <w:r>
        <w:t xml:space="preserve">10.4 Prefixo Obrigatório</w:t>
      </w:r>
    </w:p>
    <w:p>
      <w:pPr>
        <w:pStyle w:val="FirstParagraph"/>
      </w:pPr>
      <w:r>
        <w:t xml:space="preserve">Todos os projetos criados durante o UAT devem usar o prefixo</w:t>
      </w:r>
      <w:r>
        <w:t xml:space="preserve"> </w:t>
      </w:r>
      <w:r>
        <w:rPr>
          <w:rStyle w:val="VerbatimChar"/>
        </w:rPr>
        <w:t xml:space="preserve">[UAT]</w:t>
      </w:r>
      <w:r>
        <w:t xml:space="preserve"> </w:t>
      </w:r>
      <w:r>
        <w:t xml:space="preserve">no nome, para monitoramento automático no Shadow Monitor e limpeza pós-UAT.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roadmap-e-próximos-passos"/>
    <w:p>
      <w:pPr>
        <w:pStyle w:val="Heading2"/>
      </w:pPr>
      <w:r>
        <w:t xml:space="preserve">11. Roadmap e Próximos Passos</w:t>
      </w:r>
    </w:p>
    <w:bookmarkStart w:id="62" w:name="sprint-v5.4.0-próxima"/>
    <w:p>
      <w:pPr>
        <w:pStyle w:val="Heading3"/>
      </w:pPr>
      <w:r>
        <w:t xml:space="preserve">11.1 Sprint v5.4.0 (Próxima)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Ativar modo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Após aprovação do UAT — alterar</w:t>
            </w:r>
            <w:r>
              <w:t xml:space="preserve"> </w:t>
            </w:r>
            <w:r>
              <w:rPr>
                <w:rStyle w:val="VerbatimChar"/>
              </w:rPr>
              <w:t xml:space="preserve">DIAGNOSTIC_READ_MODE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legacy</w:t>
            </w:r>
            <w:r>
              <w:t xml:space="preserve"> </w:t>
            </w:r>
            <w:r>
              <w:t xml:space="preserve">para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F-04 Schema Migration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Executar estratégia de migração de schema (ADR-008) para consolidar dados V1 em 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de 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Radar de compliance por domínio (Fase 2 do v1.00)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Limpeza de projetos de teste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FROM projects WHERE name LIKE '[ONDA%]'</w:t>
            </w:r>
          </w:p>
        </w:tc>
      </w:tr>
    </w:tbl>
    <w:bookmarkEnd w:id="62"/>
    <w:bookmarkStart w:id="63" w:name="sprint-v5.5.0-futuro"/>
    <w:p>
      <w:pPr>
        <w:pStyle w:val="Heading3"/>
      </w:pPr>
      <w:r>
        <w:t xml:space="preserve">11.2 Sprint v5.5.0 (Futuro)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 de Apresentação Executiva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por domínio, radar/satélite, drill-down requisito → gap → risco → tarefa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Exportação de relatório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executivo para apresentação ao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Integração com ERP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para integração com sistemas ERP dos clientes</w:t>
            </w:r>
          </w:p>
        </w:tc>
      </w:tr>
    </w:tbl>
    <w:bookmarkEnd w:id="63"/>
    <w:bookmarkStart w:id="64" w:name="X711917344efbe41dfb4f8e6557f660cd24a352b"/>
    <w:p>
      <w:pPr>
        <w:pStyle w:val="Heading3"/>
      </w:pPr>
      <w:r>
        <w:t xml:space="preserve">11.3 O Que Ainda Não Foi Implementado (do v1.00)</w:t>
      </w:r>
    </w:p>
    <w:p>
      <w:pPr>
        <w:pStyle w:val="FirstParagraph"/>
      </w:pPr>
      <w:r>
        <w:t xml:space="preserve">O documento v1.00 propôs funcionalidades que ainda estão pendentes de implementação: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Prevista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Radar/satélite de compliance por domínio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Drill-down domínio → requisito → gap → risco → tarefa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 de gaps no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 de execução do plano (kanban)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 por domínio no painel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v5.4.0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9" w:name="papéis-e-responsabilidades"/>
    <w:p>
      <w:pPr>
        <w:pStyle w:val="Heading2"/>
      </w:pPr>
      <w:r>
        <w:t xml:space="preserve">12. Papéis e Responsabilidades</w:t>
      </w:r>
    </w:p>
    <w:bookmarkStart w:id="66" w:name="p.o.-product-owner"/>
    <w:p>
      <w:pPr>
        <w:pStyle w:val="Heading3"/>
      </w:pPr>
      <w:r>
        <w:t xml:space="preserve">P.O. (Product Owner)</w:t>
      </w:r>
    </w:p>
    <w:p>
      <w:pPr>
        <w:pStyle w:val="FirstParagraph"/>
      </w:pPr>
      <w:r>
        <w:t xml:space="preserve">Responsável por validar o modelo de negócio, priorizar requisitos, aprovar checkpoints, aprovar a semântica de compliance (os 499 requisitos canônicos) e aprovar o dashboard e a linguagem executiva.</w:t>
      </w:r>
    </w:p>
    <w:bookmarkEnd w:id="66"/>
    <w:bookmarkStart w:id="67" w:name="orquestrador-ia-solaris-manus-ai"/>
    <w:p>
      <w:pPr>
        <w:pStyle w:val="Heading3"/>
      </w:pPr>
      <w:r>
        <w:t xml:space="preserve">Orquestrador (IA SOLARIS / Manus AI)</w:t>
      </w:r>
    </w:p>
    <w:p>
      <w:pPr>
        <w:pStyle w:val="FirstParagraph"/>
      </w:pPr>
      <w:r>
        <w:t xml:space="preserve">O Manus AI atua como</w:t>
      </w:r>
      <w:r>
        <w:t xml:space="preserve"> </w:t>
      </w:r>
      <w:r>
        <w:rPr>
          <w:bCs/>
          <w:b/>
        </w:rPr>
        <w:t xml:space="preserve">orquestrador de diagnóstico</w:t>
      </w:r>
      <w:r>
        <w:t xml:space="preserve">, não como gerador de conteúdo. Suas funções são: escolher qual obrigação validar, decidir o nível de profundidade, detectar inconsistências, classificar gaps e acionar o plano. Responsável por implementar, testar, documentar, versionar e registrar checkpoints no GitHub.</w:t>
      </w:r>
    </w:p>
    <w:bookmarkEnd w:id="67"/>
    <w:bookmarkStart w:id="68" w:name="equipe-jurídica-uat"/>
    <w:p>
      <w:pPr>
        <w:pStyle w:val="Heading3"/>
      </w:pPr>
      <w:r>
        <w:t xml:space="preserve">Equipe Jurídica (UAT)</w:t>
      </w:r>
    </w:p>
    <w:p>
      <w:pPr>
        <w:pStyle w:val="FirstParagraph"/>
      </w:pPr>
      <w:r>
        <w:t xml:space="preserve">Responsável por validar a qualidade jurídica dos diagnósticos, a adequação da linguagem para o público-alvo e a completude do mapa de requisitos regulatórios.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definition-of-done"/>
    <w:p>
      <w:pPr>
        <w:pStyle w:val="Heading2"/>
      </w:pPr>
      <w:r>
        <w:t xml:space="preserve">13. Definition of Done</w:t>
      </w:r>
    </w:p>
    <w:p>
      <w:pPr>
        <w:pStyle w:val="FirstParagraph"/>
      </w:pPr>
      <w:r>
        <w:t xml:space="preserve">Uma entrega só é marcada como</w:t>
      </w:r>
      <w:r>
        <w:t xml:space="preserve"> </w:t>
      </w:r>
      <w:r>
        <w:rPr>
          <w:bCs/>
          <w:b/>
        </w:rPr>
        <w:t xml:space="preserve">DONE</w:t>
      </w:r>
      <w:r>
        <w:t xml:space="preserve"> </w:t>
      </w:r>
      <w:r>
        <w:t xml:space="preserve">quando:</w:t>
      </w:r>
    </w:p>
    <w:p>
      <w:pPr>
        <w:numPr>
          <w:ilvl w:val="0"/>
          <w:numId w:val="1003"/>
        </w:numPr>
        <w:pStyle w:val="Compact"/>
      </w:pPr>
      <w:r>
        <w:t xml:space="preserve">☐ Objetivo do ciclo implementado</w:t>
      </w:r>
    </w:p>
    <w:p>
      <w:pPr>
        <w:numPr>
          <w:ilvl w:val="0"/>
          <w:numId w:val="1003"/>
        </w:numPr>
        <w:pStyle w:val="Compact"/>
      </w:pPr>
      <w:r>
        <w:t xml:space="preserve">☐ TypeScript: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→ Exit 0 (zero erros)</w:t>
      </w:r>
    </w:p>
    <w:p>
      <w:pPr>
        <w:numPr>
          <w:ilvl w:val="0"/>
          <w:numId w:val="1003"/>
        </w:numPr>
        <w:pStyle w:val="Compact"/>
      </w:pPr>
      <w:r>
        <w:t xml:space="preserve">☐ Double check funcional executado (atende o objetivo do produto?)</w:t>
      </w:r>
    </w:p>
    <w:p>
      <w:pPr>
        <w:numPr>
          <w:ilvl w:val="0"/>
          <w:numId w:val="1003"/>
        </w:numPr>
        <w:pStyle w:val="Compact"/>
      </w:pPr>
      <w:r>
        <w:t xml:space="preserve">☐ Double check técnico executado (schema, rotas, loops, gates, logs, tipos)</w:t>
      </w:r>
    </w:p>
    <w:p>
      <w:pPr>
        <w:numPr>
          <w:ilvl w:val="0"/>
          <w:numId w:val="1003"/>
        </w:numPr>
        <w:pStyle w:val="Compact"/>
      </w:pPr>
      <w:r>
        <w:t xml:space="preserve">☐ Testes vitest escritos e passando (100%)</w:t>
      </w:r>
    </w:p>
    <w:p>
      <w:pPr>
        <w:numPr>
          <w:ilvl w:val="0"/>
          <w:numId w:val="1003"/>
        </w:numPr>
        <w:pStyle w:val="Compact"/>
      </w:pPr>
      <w:r>
        <w:t xml:space="preserve">☐ Persistência validada no banco (dados gravados e recuperados)</w:t>
      </w:r>
    </w:p>
    <w:p>
      <w:pPr>
        <w:numPr>
          <w:ilvl w:val="0"/>
          <w:numId w:val="1003"/>
        </w:numPr>
        <w:pStyle w:val="Compact"/>
      </w:pPr>
      <w:r>
        <w:t xml:space="preserve">☐ Evidência visual (screenshot ou log de output)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todo.md</w:t>
      </w:r>
      <w:r>
        <w:t xml:space="preserve"> </w:t>
      </w:r>
      <w:r>
        <w:t xml:space="preserve">atualizado com item marcado como</w:t>
      </w:r>
      <w:r>
        <w:t xml:space="preserve"> </w:t>
      </w:r>
      <w:r>
        <w:rPr>
          <w:rStyle w:val="VerbatimChar"/>
        </w:rPr>
        <w:t xml:space="preserve">[x]</w:t>
      </w:r>
    </w:p>
    <w:p>
      <w:pPr>
        <w:numPr>
          <w:ilvl w:val="0"/>
          <w:numId w:val="1003"/>
        </w:numPr>
        <w:pStyle w:val="Compact"/>
      </w:pPr>
      <w:r>
        <w:t xml:space="preserve">☐ Commit com mensagem descritiva (</w:t>
      </w:r>
      <w:r>
        <w:rPr>
          <w:rStyle w:val="VerbatimChar"/>
        </w:rPr>
        <w:t xml:space="preserve">git commit -m "feat: descrição"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☐ Push no GitHub (</w:t>
      </w:r>
      <w:r>
        <w:rPr>
          <w:rStyle w:val="VerbatimChar"/>
        </w:rPr>
        <w:t xml:space="preserve">git push github main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webdev_save_checkpoint</w:t>
      </w:r>
      <w:r>
        <w:t xml:space="preserve"> </w:t>
      </w:r>
      <w:r>
        <w:t xml:space="preserve">executado</w:t>
      </w:r>
    </w:p>
    <w:p>
      <w:pPr>
        <w:numPr>
          <w:ilvl w:val="0"/>
          <w:numId w:val="1003"/>
        </w:numPr>
        <w:pStyle w:val="Compact"/>
      </w:pPr>
      <w:r>
        <w:t xml:space="preserve">☐ Checkpoint markdown criado em</w:t>
      </w:r>
      <w:r>
        <w:t xml:space="preserve"> </w:t>
      </w:r>
      <w:r>
        <w:rPr>
          <w:rStyle w:val="VerbatimChar"/>
        </w:rPr>
        <w:t xml:space="preserve">/docs/product/cpie-v2/produto/</w:t>
      </w:r>
    </w:p>
    <w:p>
      <w:pPr>
        <w:numPr>
          <w:ilvl w:val="0"/>
          <w:numId w:val="1003"/>
        </w:numPr>
        <w:pStyle w:val="Compact"/>
      </w:pPr>
      <w:r>
        <w:t xml:space="preserve">☐ Documentação atualizada (se feature crítica)</w:t>
      </w:r>
    </w:p>
    <w:p>
      <w:pPr>
        <w:numPr>
          <w:ilvl w:val="0"/>
          <w:numId w:val="1003"/>
        </w:numPr>
        <w:pStyle w:val="Compact"/>
      </w:pPr>
      <w:r>
        <w:t xml:space="preserve">☐ Suite Onda 1+2 executada (se feature toca diagnóstico)</w:t>
      </w:r>
    </w:p>
    <w:p>
      <w:pPr>
        <w:numPr>
          <w:ilvl w:val="0"/>
          <w:numId w:val="1003"/>
        </w:numPr>
        <w:pStyle w:val="Compact"/>
      </w:pPr>
      <w:r>
        <w:t xml:space="preserve">☐ Shadow Monitor verificado (se feature toca diagnóstico)</w:t>
      </w:r>
    </w:p>
    <w:p>
      <w:r>
        <w:pict>
          <v:rect style="width:0;height:1.5pt" o:hralign="center" o:hrstd="t" o:hr="t"/>
        </w:pict>
      </w:r>
    </w:p>
    <w:bookmarkEnd w:id="70"/>
    <w:bookmarkStart w:id="71" w:name="decisões-arquiteturais-adrs"/>
    <w:p>
      <w:pPr>
        <w:pStyle w:val="Heading2"/>
      </w:pPr>
      <w:r>
        <w:t xml:space="preserve">14. Decisões Arquiteturais (ADRs)</w:t>
      </w:r>
    </w:p>
    <w:p>
      <w:pPr>
        <w:pStyle w:val="FirstParagraph"/>
      </w:pPr>
      <w:r>
        <w:t xml:space="preserve">Os ADRs registram as decisões arquiteturais tomadas durante o projeto, com contexto, decisão, consequências e alternativas rejeitadas: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Arquitetura de Diagnóstico (compliance antes de CNAE)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de Implementação e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Exaustão de Riscos (gap → risco, não IA solta)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de Verdade do 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Isolamento Físico do Diagnóstico (adaptador</w:t>
            </w:r>
            <w:r>
              <w:t xml:space="preserve"> </w:t>
            </w:r>
            <w:r>
              <w:rPr>
                <w:rStyle w:val="VerbatimChar"/>
              </w:rPr>
              <w:t xml:space="preserve">getDiagnosticSource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de Validação Prática do ADR-005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de Limpeza no Retrocesso (</w:t>
            </w:r>
            <w:r>
              <w:rPr>
                <w:rStyle w:val="VerbatimChar"/>
              </w:rPr>
              <w:t xml:space="preserve">cleanupOnRetrocesso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Aprovado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Estratégia de Migração de Schema 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Em implementação</w:t>
            </w:r>
          </w:p>
        </w:tc>
      </w:tr>
    </w:tbl>
    <w:p>
      <w:pPr>
        <w:pStyle w:val="BodyText"/>
      </w:pPr>
      <w:r>
        <w:t xml:space="preserve">Todos os ADRs estão publicados em</w:t>
      </w:r>
      <w:r>
        <w:t xml:space="preserve"> </w:t>
      </w:r>
      <w:r>
        <w:rPr>
          <w:rStyle w:val="VerbatimChar"/>
        </w:rPr>
        <w:t xml:space="preserve">docs/product/cpie-v2/produto/ADR-0XX-*.md</w:t>
      </w:r>
      <w:r>
        <w:t xml:space="preserve"> </w:t>
      </w:r>
      <w:r>
        <w:t xml:space="preserve">no GitHub.</w:t>
      </w:r>
    </w:p>
    <w:p>
      <w:r>
        <w:pict>
          <v:rect style="width:0;height:1.5pt" o:hralign="center" o:hrstd="t" o:hr="t"/>
        </w:pict>
      </w:r>
    </w:p>
    <w:bookmarkEnd w:id="71"/>
    <w:bookmarkStart w:id="74" w:name="Xbc789171c06f7bb86510517509fd8364f4e2958"/>
    <w:p>
      <w:pPr>
        <w:pStyle w:val="Heading2"/>
      </w:pPr>
      <w:r>
        <w:t xml:space="preserve">Apêndice A — Protocolo de Branches e Commits</w:t>
      </w:r>
    </w:p>
    <w:bookmarkStart w:id="72" w:name="branch-pattern"/>
    <w:p>
      <w:pPr>
        <w:pStyle w:val="Heading3"/>
      </w:pPr>
      <w:r>
        <w:t xml:space="preserve">Branch Pattern</w:t>
      </w:r>
    </w:p>
    <w:p>
      <w:pPr>
        <w:pStyle w:val="SourceCode"/>
      </w:pPr>
      <w:r>
        <w:rPr>
          <w:rStyle w:val="VerbatimChar"/>
        </w:rPr>
        <w:t xml:space="preserve">feature/compliance-engine-v3</w:t>
      </w:r>
      <w:r>
        <w:br/>
      </w:r>
      <w:r>
        <w:rPr>
          <w:rStyle w:val="VerbatimChar"/>
        </w:rPr>
        <w:t xml:space="preserve">feature/gap-engine-v2</w:t>
      </w:r>
      <w:r>
        <w:br/>
      </w:r>
      <w:r>
        <w:rPr>
          <w:rStyle w:val="VerbatimChar"/>
        </w:rPr>
        <w:t xml:space="preserve">feature/risk-matrix-from-gaps</w:t>
      </w:r>
      <w:r>
        <w:br/>
      </w:r>
      <w:r>
        <w:rPr>
          <w:rStyle w:val="VerbatimChar"/>
        </w:rPr>
        <w:t xml:space="preserve">feature/action-plan-atomic-tasks</w:t>
      </w:r>
      <w:r>
        <w:br/>
      </w:r>
      <w:r>
        <w:rPr>
          <w:rStyle w:val="VerbatimChar"/>
        </w:rPr>
        <w:t xml:space="preserve">feature/compliance-radar-dashboard</w:t>
      </w:r>
      <w:r>
        <w:br/>
      </w:r>
      <w:r>
        <w:rPr>
          <w:rStyle w:val="VerbatimChar"/>
        </w:rPr>
        <w:t xml:space="preserve">feature/shadow-mode-migration</w:t>
      </w:r>
      <w:r>
        <w:br/>
      </w:r>
      <w:r>
        <w:rPr>
          <w:rStyle w:val="VerbatimChar"/>
        </w:rPr>
        <w:t xml:space="preserve">docs/compliance-architecture-v2</w:t>
      </w:r>
    </w:p>
    <w:bookmarkEnd w:id="72"/>
    <w:bookmarkStart w:id="73" w:name="commit-pattern"/>
    <w:p>
      <w:pPr>
        <w:pStyle w:val="Heading3"/>
      </w:pPr>
      <w:r>
        <w:t xml:space="preserve">Commit Pattern</w:t>
      </w:r>
    </w:p>
    <w:p>
      <w:pPr>
        <w:pStyle w:val="SourceCode"/>
      </w:pPr>
      <w:r>
        <w:rPr>
          <w:rStyle w:val="VerbatimChar"/>
        </w:rPr>
        <w:t xml:space="preserve">feat(compliance): add canonical regulatory requirements engine</w:t>
      </w:r>
      <w:r>
        <w:br/>
      </w:r>
      <w:r>
        <w:rPr>
          <w:rStyle w:val="VerbatimChar"/>
        </w:rPr>
        <w:t xml:space="preserve">feat(assessment): implement requirement-based assessment flow</w:t>
      </w:r>
      <w:r>
        <w:br/>
      </w:r>
      <w:r>
        <w:rPr>
          <w:rStyle w:val="VerbatimChar"/>
        </w:rPr>
        <w:t xml:space="preserve">feat(gaps): add gap classification and persistence</w:t>
      </w:r>
      <w:r>
        <w:br/>
      </w:r>
      <w:r>
        <w:rPr>
          <w:rStyle w:val="VerbatimChar"/>
        </w:rPr>
        <w:t xml:space="preserve">feat(risks): derive risk matrix from compliance gaps</w:t>
      </w:r>
      <w:r>
        <w:br/>
      </w:r>
      <w:r>
        <w:rPr>
          <w:rStyle w:val="VerbatimChar"/>
        </w:rPr>
        <w:t xml:space="preserve">feat(plan): generate atomic action tasks from approved risks</w:t>
      </w:r>
      <w:r>
        <w:br/>
      </w:r>
      <w:r>
        <w:rPr>
          <w:rStyle w:val="VerbatimChar"/>
        </w:rPr>
        <w:t xml:space="preserve">feat(dashboard): add compliance radar and domain scoring</w:t>
      </w:r>
      <w:r>
        <w:br/>
      </w:r>
      <w:r>
        <w:rPr>
          <w:rStyle w:val="VerbatimChar"/>
        </w:rPr>
        <w:t xml:space="preserve">feat(shadow): implement shadow mode migration protocol</w:t>
      </w:r>
      <w:r>
        <w:br/>
      </w:r>
      <w:r>
        <w:rPr>
          <w:rStyle w:val="VerbatimChar"/>
        </w:rPr>
        <w:t xml:space="preserve">docs(architecture): document compliance engine v2</w:t>
      </w:r>
      <w:r>
        <w:br/>
      </w:r>
      <w:r>
        <w:rPr>
          <w:rStyle w:val="VerbatimChar"/>
        </w:rPr>
        <w:t xml:space="preserve">docs(checkpoint): add sprint checkpoint</w:t>
      </w:r>
      <w:r>
        <w:br/>
      </w:r>
      <w:r>
        <w:rPr>
          <w:rStyle w:val="VerbatimChar"/>
        </w:rPr>
        <w:t xml:space="preserve">fix(flow): preserve CNAE as contextual layer only</w:t>
      </w:r>
      <w:r>
        <w:br/>
      </w:r>
      <w:r>
        <w:rPr>
          <w:rStyle w:val="VerbatimChar"/>
        </w:rPr>
        <w:t xml:space="preserve">test(compliance): add validation coverage for requirement scoring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Xb9a84c94e2f5f3248c8688cbae438ad95c0f219"/>
    <w:p>
      <w:pPr>
        <w:pStyle w:val="Heading2"/>
      </w:pPr>
      <w:r>
        <w:t xml:space="preserve">Apêndice B — Estrutura de Documentação no GitHub</w:t>
      </w:r>
    </w:p>
    <w:p>
      <w:pPr>
        <w:pStyle w:val="SourceCode"/>
      </w:pPr>
      <w:r>
        <w:rPr>
          <w:rStyle w:val="VerbatimChar"/>
        </w:rPr>
        <w:t xml:space="preserve">/docs</w:t>
      </w:r>
      <w:r>
        <w:br/>
      </w:r>
      <w:r>
        <w:rPr>
          <w:rStyle w:val="VerbatimChar"/>
        </w:rPr>
        <w:t xml:space="preserve">  /product</w:t>
      </w:r>
      <w:r>
        <w:br/>
      </w:r>
      <w:r>
        <w:rPr>
          <w:rStyle w:val="VerbatimChar"/>
        </w:rPr>
        <w:t xml:space="preserve">    /cpie-v2</w:t>
      </w:r>
      <w:r>
        <w:br/>
      </w:r>
      <w:r>
        <w:rPr>
          <w:rStyle w:val="VerbatimChar"/>
        </w:rPr>
        <w:t xml:space="preserve">      /produto</w:t>
      </w:r>
      <w:r>
        <w:br/>
      </w:r>
      <w:r>
        <w:rPr>
          <w:rStyle w:val="VerbatimChar"/>
        </w:rPr>
        <w:t xml:space="preserve">        REQUISITOS-FUNCIONAIS-v6.md</w:t>
      </w:r>
      <w:r>
        <w:br/>
      </w:r>
      <w:r>
        <w:rPr>
          <w:rStyle w:val="VerbatimChar"/>
        </w:rPr>
        <w:t xml:space="preserve">        DOCUMENTACAO-IA-GENERATIVA-v5.md</w:t>
      </w:r>
      <w:r>
        <w:br/>
      </w:r>
      <w:r>
        <w:rPr>
          <w:rStyle w:val="VerbatimChar"/>
        </w:rPr>
        <w:t xml:space="preserve">        PLAYBOOK-DA-PLATAFORMA-v3.md</w:t>
      </w:r>
      <w:r>
        <w:br/>
      </w:r>
      <w:r>
        <w:rPr>
          <w:rStyle w:val="VerbatimChar"/>
        </w:rPr>
        <w:t xml:space="preserve">        GUIA-UAT-ADVOGADOS-v2.md</w:t>
      </w:r>
      <w:r>
        <w:br/>
      </w:r>
      <w:r>
        <w:rPr>
          <w:rStyle w:val="VerbatimChar"/>
        </w:rPr>
        <w:t xml:space="preserve">        SHADOW-MONITOR-BASELINE-UAT-2026-03-23.md</w:t>
      </w:r>
      <w:r>
        <w:br/>
      </w:r>
      <w:r>
        <w:rPr>
          <w:rStyle w:val="VerbatimChar"/>
        </w:rPr>
        <w:t xml:space="preserve">        RELATORIO-COMPLETO-TESTES-ONDA1-ONDA2-2026-03-23.md</w:t>
      </w:r>
      <w:r>
        <w:br/>
      </w:r>
      <w:r>
        <w:rPr>
          <w:rStyle w:val="VerbatimChar"/>
        </w:rPr>
        <w:t xml:space="preserve">        projeto-compliance-reforma-tributaria-v2.00.md</w:t>
      </w:r>
      <w:r>
        <w:br/>
      </w:r>
      <w:r>
        <w:rPr>
          <w:rStyle w:val="VerbatimChar"/>
        </w:rPr>
        <w:t xml:space="preserve">        ADR-001-arquitetura-diagnostico.md</w:t>
      </w:r>
      <w:r>
        <w:br/>
      </w:r>
      <w:r>
        <w:rPr>
          <w:rStyle w:val="VerbatimChar"/>
        </w:rPr>
        <w:t xml:space="preserve">        ADR-002-plano-implementacao-rollback.md</w:t>
      </w:r>
      <w:r>
        <w:br/>
      </w:r>
      <w:r>
        <w:rPr>
          <w:rStyle w:val="VerbatimChar"/>
        </w:rPr>
        <w:t xml:space="preserve">        ADR-003-exaustao-de-riscos.md</w:t>
      </w:r>
      <w:r>
        <w:br/>
      </w:r>
      <w:r>
        <w:rPr>
          <w:rStyle w:val="VerbatimChar"/>
        </w:rPr>
        <w:t xml:space="preserve">        ADR-004-fonte-de-verdade-diagnostico.md</w:t>
      </w:r>
      <w:r>
        <w:br/>
      </w:r>
      <w:r>
        <w:rPr>
          <w:rStyle w:val="VerbatimChar"/>
        </w:rPr>
        <w:t xml:space="preserve">        ADR-005-isolamento-fisico-diagnostico.md</w:t>
      </w:r>
      <w:r>
        <w:br/>
      </w:r>
      <w:r>
        <w:rPr>
          <w:rStyle w:val="VerbatimChar"/>
        </w:rPr>
        <w:t xml:space="preserve">        ADR-006-relatorio-validacao-pratica-adr005.md</w:t>
      </w:r>
      <w:r>
        <w:br/>
      </w:r>
      <w:r>
        <w:rPr>
          <w:rStyle w:val="VerbatimChar"/>
        </w:rPr>
        <w:t xml:space="preserve">        ADR-007-gate-limpeza-retrocesso.md</w:t>
      </w:r>
      <w:r>
        <w:br/>
      </w:r>
      <w:r>
        <w:rPr>
          <w:rStyle w:val="VerbatimChar"/>
        </w:rPr>
        <w:t xml:space="preserve">        ADR-008-F04-schema-migration-strategy.md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atualizado em 23/03/2026 — IA SOLARIS Compliance Tributária</w:t>
      </w:r>
      <w:r>
        <w:t xml:space="preserve"> </w:t>
      </w:r>
      <w:r>
        <w:rPr>
          <w:iCs/>
          <w:i/>
        </w:rPr>
        <w:t xml:space="preserve">Versão anterior: v1.00 (documento fundacional — reposicionamento estratégico)</w:t>
      </w:r>
      <w:r>
        <w:t xml:space="preserve"> </w:t>
      </w:r>
      <w:r>
        <w:rPr>
          <w:iCs/>
          <w:i/>
        </w:rPr>
        <w:t xml:space="preserve">Próxima revisão prevista: Após ativação do modo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new</w:t>
      </w:r>
      <w:r>
        <w:rPr>
          <w:iCs/>
          <w:i/>
        </w:rPr>
        <w:t xml:space="preserve"> </w:t>
      </w:r>
      <w:r>
        <w:rPr>
          <w:iCs/>
          <w:i/>
        </w:rPr>
        <w:t xml:space="preserve">(Sprint v5.4.0)</w:t>
      </w:r>
      <w:r>
        <w:t xml:space="preserve"> </w:t>
      </w:r>
      <w:r>
        <w:rPr>
          <w:iCs/>
          <w:i/>
        </w:rPr>
        <w:t xml:space="preserve">Mantido por: Equipe SOLARIS</w:t>
      </w:r>
    </w:p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2026-03-23T23:11:36Z</dcterms:created>
  <dcterms:modified xsi:type="dcterms:W3CDTF">2026-03-23T23:11:36Z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