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d462fc478eb03a9fe19aec3a6dce5ff7d4586c3"/>
    <w:p>
      <w:pPr>
        <w:pStyle w:val="Heading1"/>
      </w:pPr>
      <w:r>
        <w:t xml:space="preserve">ADR-010 — Arquitetura Canônica de Conteúdo Diagnóstico para Confiabilidade 98%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Proposto — aguardando aprovação do Orquestrador (gate B1)</w:t>
      </w:r>
      <w:r>
        <w:br/>
      </w:r>
      <w:r>
        <w:rPr>
          <w:bCs/>
          <w:b/>
        </w:rPr>
        <w:t xml:space="preserve">Data:</w:t>
      </w:r>
      <w:r>
        <w:t xml:space="preserve"> </w:t>
      </w:r>
      <w:r>
        <w:t xml:space="preserve">2026-03-23</w:t>
      </w:r>
      <w:r>
        <w:br/>
      </w:r>
      <w:r>
        <w:rPr>
          <w:bCs/>
          <w:b/>
        </w:rPr>
        <w:t xml:space="preserve">Autores:</w:t>
      </w:r>
      <w:r>
        <w:t xml:space="preserve"> </w:t>
      </w:r>
      <w:r>
        <w:t xml:space="preserve">Manus AI / Equipe IA SOLARIS</w:t>
      </w:r>
      <w:r>
        <w:br/>
      </w:r>
      <w:r>
        <w:rPr>
          <w:bCs/>
          <w:b/>
        </w:rPr>
        <w:t xml:space="preserve">Issue:</w:t>
      </w:r>
      <w:r>
        <w:t xml:space="preserve"> </w:t>
      </w:r>
      <w:hyperlink r:id="rId20">
        <w:r>
          <w:rPr>
            <w:rStyle w:val="Hyperlink"/>
          </w:rPr>
          <w:t xml:space="preserve">#63</w:t>
        </w:r>
      </w:hyperlink>
      <w:r>
        <w:br/>
      </w:r>
      <w:r>
        <w:rPr>
          <w:bCs/>
          <w:b/>
        </w:rPr>
        <w:t xml:space="preserve">Milestone:</w:t>
      </w:r>
      <w:r>
        <w:t xml:space="preserve"> </w:t>
      </w:r>
      <w:hyperlink r:id="rId21">
        <w:r>
          <w:rPr>
            <w:rStyle w:val="Hyperlink"/>
          </w:rPr>
          <w:t xml:space="preserve">Sprint-98-Confidence-Content-Engine</w:t>
        </w:r>
      </w:hyperlink>
    </w:p>
    <w:p>
      <w:r>
        <w:pict>
          <v:rect style="width:0;height:1.5pt" o:hralign="center" o:hrstd="t" o:hr="t"/>
        </w:pict>
      </w:r>
    </w:p>
    <w:bookmarkStart w:id="22" w:name="contexto"/>
    <w:p>
      <w:pPr>
        <w:pStyle w:val="Heading2"/>
      </w:pPr>
      <w:r>
        <w:t xml:space="preserve">Contexto</w:t>
      </w:r>
    </w:p>
    <w:p>
      <w:pPr>
        <w:pStyle w:val="FirstParagraph"/>
      </w:pPr>
      <w:r>
        <w:t xml:space="preserve">A plataforma IA SOLARIS atingiu estabilidade técnica completa na Sprint v5.3.0: fluxo de 5 etapas, persistência, concorrência (107/107 testes), Shadow Mode com 274 divergências esperadas e 0 críticas, e TypeScript sem erros. No entanto, a avaliação qualitativa dos outputs revelou que a qualidade semântica e regulatória dos questionários, briefing, matriz de riscos e plano de ação está abaixo de 30% do esperado.</w:t>
      </w:r>
    </w:p>
    <w:p>
      <w:pPr>
        <w:pStyle w:val="BodyText"/>
      </w:pPr>
      <w:r>
        <w:t xml:space="preserve">A análise de causa raiz identificou 5 vetores de falha estruturais:</w:t>
      </w:r>
    </w:p>
    <w:p>
      <w:pPr>
        <w:pStyle w:val="BodyText"/>
      </w:pPr>
      <w:r>
        <w:rPr>
          <w:bCs/>
          <w:b/>
        </w:rPr>
        <w:t xml:space="preserve">Vetor 1 — Ausência de contrato de entrada por etapa.</w:t>
      </w:r>
      <w:r>
        <w:t xml:space="preserve"> </w:t>
      </w:r>
      <w:r>
        <w:t xml:space="preserve">Cada etapa do fluxo recebe inputs não padronizados, sem definição formal do que entra, como é processado e o que sai. Isso gera inconsistências entre etapas e impossibilita a rastreabilidade.</w:t>
      </w:r>
    </w:p>
    <w:p>
      <w:pPr>
        <w:pStyle w:val="BodyText"/>
      </w:pPr>
      <w:r>
        <w:rPr>
          <w:bCs/>
          <w:b/>
        </w:rPr>
        <w:t xml:space="preserve">Vetor 2 — Ausência de requirement-to-question mapping.</w:t>
      </w:r>
      <w:r>
        <w:t xml:space="preserve"> </w:t>
      </w:r>
      <w:r>
        <w:t xml:space="preserve">As perguntas geradas não têm vínculo formal com os requisitos normativos aplicáveis (LC 214, LC 224, LC 227, EC 132). O LLM gera perguntas genéricas sem ancoragem no corpus RAG, produzindo questionários que não cobrem os requisitos legais relevantes para o perfil da empresa.</w:t>
      </w:r>
    </w:p>
    <w:p>
      <w:pPr>
        <w:pStyle w:val="BodyText"/>
      </w:pPr>
      <w:r>
        <w:rPr>
          <w:bCs/>
          <w:b/>
        </w:rPr>
        <w:t xml:space="preserve">Vetor 3 — Ausência de coverage control.</w:t>
      </w:r>
      <w:r>
        <w:t xml:space="preserve"> </w:t>
      </w:r>
      <w:r>
        <w:t xml:space="preserve">Não há mecanismo que garanta que 100% dos requisitos aplicáveis foram perguntados, respondidos e avaliados. O briefing pode ser gerado com lacunas regulatórias significativas sem nenhum alerta.</w:t>
      </w:r>
    </w:p>
    <w:p>
      <w:pPr>
        <w:pStyle w:val="BodyText"/>
      </w:pPr>
      <w:r>
        <w:rPr>
          <w:bCs/>
          <w:b/>
        </w:rPr>
        <w:t xml:space="preserve">Vetor 4 — Ausência de gap formal e cadeia de rastreabilidade.</w:t>
      </w:r>
      <w:r>
        <w:t xml:space="preserve"> </w:t>
      </w:r>
      <w:r>
        <w:t xml:space="preserve">As respostas dos usuários não são transformadas em estados formais de conformidade (atende/não_atende/parcial/evidência_insuficiente/não_aplicável). Sem gap formal, não há base para gerar riscos e ações rastreáveis.</w:t>
      </w:r>
    </w:p>
    <w:p>
      <w:pPr>
        <w:pStyle w:val="BodyText"/>
      </w:pPr>
      <w:r>
        <w:rPr>
          <w:bCs/>
          <w:b/>
        </w:rPr>
        <w:t xml:space="preserve">Vetor 5 — Risk scoring e action planning sem estrutura.</w:t>
      </w:r>
      <w:r>
        <w:t xml:space="preserve"> </w:t>
      </w:r>
      <w:r>
        <w:t xml:space="preserve">Os riscos são gerados com texto livre sem taxonomia hierárquica, sem scoring determinístico e sem vínculo obrigatório com o gap de origem. As ações são genéricas, sem template por domínio e sem prazo determinístico.</w:t>
      </w:r>
    </w:p>
    <w:p>
      <w:r>
        <w:pict>
          <v:rect style="width:0;height:1.5pt" o:hralign="center" o:hrstd="t" o:hr="t"/>
        </w:pict>
      </w:r>
    </w:p>
    <w:bookmarkEnd w:id="22"/>
    <w:bookmarkStart w:id="25" w:name="decisão"/>
    <w:p>
      <w:pPr>
        <w:pStyle w:val="Heading2"/>
      </w:pPr>
      <w:r>
        <w:t xml:space="preserve">Decisão</w:t>
      </w:r>
    </w:p>
    <w:p>
      <w:pPr>
        <w:pStyle w:val="FirstParagraph"/>
      </w:pPr>
      <w:r>
        <w:t xml:space="preserve">Adotar uma</w:t>
      </w:r>
      <w:r>
        <w:t xml:space="preserve"> </w:t>
      </w:r>
      <w:r>
        <w:rPr>
          <w:bCs/>
          <w:b/>
        </w:rPr>
        <w:t xml:space="preserve">arquitetura de conteúdo baseada em 6 engines obrigatórias e sequenciais</w:t>
      </w:r>
      <w:r>
        <w:t xml:space="preserve">, onde cada engine tem contrato formal de entrada e saída, e a cadeia de rastreabilidade</w:t>
      </w:r>
      <w:r>
        <w:t xml:space="preserve"> </w:t>
      </w:r>
      <w:r>
        <w:rPr>
          <w:rStyle w:val="VerbatimChar"/>
        </w:rPr>
        <w:t xml:space="preserve">Requisito → Gap → Risco → Ação</w:t>
      </w:r>
      <w:r>
        <w:t xml:space="preserve"> </w:t>
      </w:r>
      <w:r>
        <w:t xml:space="preserve">é inviolável.</w:t>
      </w:r>
    </w:p>
    <w:bookmarkStart w:id="23" w:name="arquitetura-das-6-engines"/>
    <w:p>
      <w:pPr>
        <w:pStyle w:val="Heading3"/>
      </w:pPr>
      <w:r>
        <w:t xml:space="preserve">Arquitetura das 6 engines</w:t>
      </w:r>
    </w:p>
    <w:p>
      <w:pPr>
        <w:pStyle w:val="SourceCode"/>
      </w:pPr>
      <w:r>
        <w:rPr>
          <w:rStyle w:val="VerbatimChar"/>
        </w:rPr>
        <w:t xml:space="preserve">Perfil + CNAE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[Requirement Engine]  ← RAG filtrado por CNAE, porte, regime, UF</w:t>
      </w:r>
      <w:r>
        <w:br/>
      </w:r>
      <w:r>
        <w:rPr>
          <w:rStyle w:val="VerbatimChar"/>
        </w:rPr>
        <w:t xml:space="preserve">    │ requirements[]  (id, source, applicable, layer, cnae_scope)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[Question Engine]     ← requirement-to-question mapping + deduplicação + LLM-as-judge</w:t>
      </w:r>
      <w:r>
        <w:br/>
      </w:r>
      <w:r>
        <w:rPr>
          <w:rStyle w:val="VerbatimChar"/>
        </w:rPr>
        <w:t xml:space="preserve">    │ questions[]     (id, requirement_id, source_reference, confidence, score)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[Respostas do usuário]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[Gap Engine]          ← classificação formal determinística</w:t>
      </w:r>
      <w:r>
        <w:br/>
      </w:r>
      <w:r>
        <w:rPr>
          <w:rStyle w:val="VerbatimChar"/>
        </w:rPr>
        <w:t xml:space="preserve">    │ gaps[]          (id, question_id, requirement_id, gap_status, confidence)</w:t>
      </w:r>
      <w:r>
        <w:br/>
      </w:r>
      <w:r>
        <w:rPr>
          <w:rStyle w:val="VerbatimChar"/>
        </w:rPr>
        <w:t xml:space="preserve">    ├──────────────────────────────────────────────────────┐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▼                                                      ▼</w:t>
      </w:r>
      <w:r>
        <w:br/>
      </w:r>
      <w:r>
        <w:rPr>
          <w:rStyle w:val="VerbatimChar"/>
        </w:rPr>
        <w:t xml:space="preserve">[Coverage Engine]     ← gate de completude 100%    [Consistency Engine] ← contradições cross-stage</w:t>
      </w:r>
      <w:r>
        <w:br/>
      </w:r>
      <w:r>
        <w:rPr>
          <w:rStyle w:val="VerbatimChar"/>
        </w:rPr>
        <w:t xml:space="preserve">    │ coverage_report                                      │ conflicts[]</w:t>
      </w:r>
      <w:r>
        <w:br/>
      </w:r>
      <w:r>
        <w:rPr>
          <w:rStyle w:val="VerbatimChar"/>
        </w:rPr>
        <w:t xml:space="preserve">    │ (gate: bloqueia briefing se &lt; 100%)                 │ (gate: bloqueia briefing se severity=high)</w:t>
      </w:r>
      <w:r>
        <w:br/>
      </w:r>
      <w:r>
        <w:rPr>
          <w:rStyle w:val="VerbatimChar"/>
        </w:rPr>
        <w:t xml:space="preserve">    └──────────────────────────────────────────────────────┘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                              ▼</w:t>
      </w:r>
      <w:r>
        <w:br/>
      </w:r>
      <w:r>
        <w:rPr>
          <w:rStyle w:val="VerbatimChar"/>
        </w:rPr>
        <w:t xml:space="preserve">                        [Risk Engine]         ← taxonomia 3 níveis + scoring híbrido</w:t>
      </w:r>
      <w:r>
        <w:br/>
      </w:r>
      <w:r>
        <w:rPr>
          <w:rStyle w:val="VerbatimChar"/>
        </w:rPr>
        <w:t xml:space="preserve">                                │ risks[]     (id, gap_id, requirement_id, taxonomy, score, impact)</w:t>
      </w:r>
      <w:r>
        <w:br/>
      </w:r>
      <w:r>
        <w:rPr>
          <w:rStyle w:val="VerbatimChar"/>
        </w:rPr>
        <w:t xml:space="preserve">                                ▼</w:t>
      </w:r>
      <w:r>
        <w:br/>
      </w:r>
      <w:r>
        <w:rPr>
          <w:rStyle w:val="VerbatimChar"/>
        </w:rPr>
        <w:t xml:space="preserve">                        [Action Engine]       ← templates por domínio + prazo determinístico</w:t>
      </w:r>
      <w:r>
        <w:br/>
      </w:r>
      <w:r>
        <w:rPr>
          <w:rStyle w:val="VerbatimChar"/>
        </w:rPr>
        <w:t xml:space="preserve">                                │ actions[]   (id, risk_id, gap_id, requirement_id, template_id, deadline)</w:t>
      </w:r>
      <w:r>
        <w:br/>
      </w:r>
      <w:r>
        <w:rPr>
          <w:rStyle w:val="VerbatimChar"/>
        </w:rPr>
        <w:t xml:space="preserve">                                ▼</w:t>
      </w:r>
      <w:r>
        <w:br/>
      </w:r>
      <w:r>
        <w:rPr>
          <w:rStyle w:val="VerbatimChar"/>
        </w:rPr>
        <w:t xml:space="preserve">                            [Outputs]</w:t>
      </w:r>
      <w:r>
        <w:br/>
      </w:r>
      <w:r>
        <w:rPr>
          <w:rStyle w:val="VerbatimChar"/>
        </w:rPr>
        <w:t xml:space="preserve">                            ├── Briefing (template 8 seções + grounding normativo)</w:t>
      </w:r>
      <w:r>
        <w:br/>
      </w:r>
      <w:r>
        <w:rPr>
          <w:rStyle w:val="VerbatimChar"/>
        </w:rPr>
        <w:t xml:space="preserve">                            ├── Matriz de Riscos (taxonomia 3 níveis + clustering)</w:t>
      </w:r>
      <w:r>
        <w:br/>
      </w:r>
      <w:r>
        <w:rPr>
          <w:rStyle w:val="VerbatimChar"/>
        </w:rPr>
        <w:t xml:space="preserve">                            └── Plano de Ação (templates + prioridade determinística)</w:t>
      </w:r>
    </w:p>
    <w:bookmarkEnd w:id="23"/>
    <w:bookmarkStart w:id="24" w:name="regras-fundamentais-invioláveis"/>
    <w:p>
      <w:pPr>
        <w:pStyle w:val="Heading3"/>
      </w:pPr>
      <w:r>
        <w:t xml:space="preserve">5 Regras fundamentais (invioláveis)</w:t>
      </w:r>
    </w:p>
    <w:p>
      <w:pPr>
        <w:pStyle w:val="FirstParagraph"/>
      </w:pPr>
      <w:r>
        <w:rPr>
          <w:bCs/>
          <w:b/>
        </w:rPr>
        <w:t xml:space="preserve">Regra 1 — Fonte obrigatória:</w:t>
      </w:r>
      <w:r>
        <w:t xml:space="preserve"> </w:t>
      </w:r>
      <w:r>
        <w:t xml:space="preserve">toda pergunta gerada deve ter</w:t>
      </w:r>
      <w:r>
        <w:t xml:space="preserve"> </w:t>
      </w:r>
      <w:r>
        <w:rPr>
          <w:rStyle w:val="VerbatimChar"/>
        </w:rPr>
        <w:t xml:space="preserve">source_type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requirement_id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. Perguntas sem fonte são bloqueadas pelo protocolo</w:t>
      </w:r>
      <w:r>
        <w:t xml:space="preserve"> </w:t>
      </w:r>
      <w:r>
        <w:rPr>
          <w:rStyle w:val="VerbatimChar"/>
        </w:rPr>
        <w:t xml:space="preserve">NO_QUESTION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Regra 2 — Coverage total:</w:t>
      </w:r>
      <w:r>
        <w:t xml:space="preserve"> </w:t>
      </w:r>
      <w:r>
        <w:t xml:space="preserve">nenhum requisito aplicável pode ficar sem pergunta, resposta e avaliação de gap.</w:t>
      </w:r>
      <w:r>
        <w:t xml:space="preserve"> </w:t>
      </w:r>
      <w:r>
        <w:rPr>
          <w:rStyle w:val="VerbatimChar"/>
        </w:rPr>
        <w:t xml:space="preserve">coverage &lt; 100%</w:t>
      </w:r>
      <w:r>
        <w:t xml:space="preserve"> </w:t>
      </w:r>
      <w:r>
        <w:t xml:space="preserve">bloqueia a geração do briefing.</w:t>
      </w:r>
    </w:p>
    <w:p>
      <w:pPr>
        <w:pStyle w:val="BodyText"/>
      </w:pPr>
      <w:r>
        <w:rPr>
          <w:bCs/>
          <w:b/>
        </w:rPr>
        <w:t xml:space="preserve">Regra 3 — Cadeia obrigatória:</w:t>
      </w:r>
      <w:r>
        <w:t xml:space="preserve"> </w:t>
      </w:r>
      <w:r>
        <w:t xml:space="preserve">a cadeia</w:t>
      </w:r>
      <w:r>
        <w:t xml:space="preserve"> </w:t>
      </w:r>
      <w:r>
        <w:rPr>
          <w:rStyle w:val="VerbatimChar"/>
        </w:rPr>
        <w:t xml:space="preserve">Requisito → Gap → Risco → Ação</w:t>
      </w:r>
      <w:r>
        <w:t xml:space="preserve"> </w:t>
      </w:r>
      <w:r>
        <w:t xml:space="preserve">é inviolável. Risco sem</w:t>
      </w:r>
      <w:r>
        <w:t xml:space="preserve"> </w:t>
      </w:r>
      <w:r>
        <w:rPr>
          <w:rStyle w:val="VerbatimChar"/>
        </w:rPr>
        <w:t xml:space="preserve">gap_id</w:t>
      </w:r>
      <w:r>
        <w:t xml:space="preserve"> </w:t>
      </w:r>
      <w:r>
        <w:t xml:space="preserve">não existe. Ação sem</w:t>
      </w:r>
      <w:r>
        <w:t xml:space="preserve"> </w:t>
      </w:r>
      <w:r>
        <w:rPr>
          <w:rStyle w:val="VerbatimChar"/>
        </w:rPr>
        <w:t xml:space="preserve">risk_id</w:t>
      </w:r>
      <w:r>
        <w:t xml:space="preserve"> </w:t>
      </w:r>
      <w:r>
        <w:t xml:space="preserve">não existe.</w:t>
      </w:r>
    </w:p>
    <w:p>
      <w:pPr>
        <w:pStyle w:val="BodyText"/>
      </w:pPr>
      <w:r>
        <w:rPr>
          <w:bCs/>
          <w:b/>
        </w:rPr>
        <w:t xml:space="preserve">Regra 4 — Anti-alucinação:</w:t>
      </w:r>
      <w:r>
        <w:t xml:space="preserve"> </w:t>
      </w:r>
      <w:r>
        <w:t xml:space="preserve">o LLM não cria conhecimento novo. Ele apenas transforma conhecimento validado via RAG. Toda afirmação deve ter base normativa verificável no corpus.</w:t>
      </w:r>
    </w:p>
    <w:p>
      <w:pPr>
        <w:pStyle w:val="BodyText"/>
      </w:pPr>
      <w:r>
        <w:rPr>
          <w:bCs/>
          <w:b/>
        </w:rPr>
        <w:t xml:space="preserve">Regra 5 — CNAE condicionado:</w:t>
      </w:r>
      <w:r>
        <w:t xml:space="preserve"> </w:t>
      </w:r>
      <w:r>
        <w:t xml:space="preserve">CNAE sem requisito aplicável no corpus RAG não gera questionário. O sistema registra o CNAE como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com motivo</w:t>
      </w:r>
      <w:r>
        <w:t xml:space="preserve"> </w:t>
      </w:r>
      <w:r>
        <w:rPr>
          <w:rStyle w:val="VerbatimChar"/>
        </w:rPr>
        <w:t xml:space="preserve">no_applicable_requirements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alternativas-consideradas"/>
    <w:p>
      <w:pPr>
        <w:pStyle w:val="Heading2"/>
      </w:pPr>
      <w:r>
        <w:t xml:space="preserve">Alternativas consideradas</w:t>
      </w:r>
    </w:p>
    <w:p>
      <w:pPr>
        <w:pStyle w:val="FirstParagraph"/>
      </w:pPr>
      <w:r>
        <w:rPr>
          <w:bCs/>
          <w:b/>
        </w:rPr>
        <w:t xml:space="preserve">Alternativa A — Melhorar os prompts existentes sem reestruturar a arquitetura.</w:t>
      </w:r>
      <w:r>
        <w:t xml:space="preserve"> </w:t>
      </w:r>
      <w:r>
        <w:t xml:space="preserve">Descartada porque o problema não é de qualidade de prompt, mas de ausência de estrutura de dados formal entre as etapas. Prompts melhores sobre uma arquitetura sem contrato formal produzirão outputs melhores, mas não rastreáveis e não auditáveis.</w:t>
      </w:r>
    </w:p>
    <w:p>
      <w:pPr>
        <w:pStyle w:val="BodyText"/>
      </w:pPr>
      <w:r>
        <w:rPr>
          <w:bCs/>
          <w:b/>
        </w:rPr>
        <w:t xml:space="preserve">Alternativa B — Usar um único prompt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mega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que gera tudo de uma vez (briefing + matriz + plano).</w:t>
      </w:r>
      <w:r>
        <w:t xml:space="preserve"> </w:t>
      </w:r>
      <w:r>
        <w:t xml:space="preserve">Descartada porque viola a Regra 4 (anti-alucinação) e impossibilita a rastreabilidade. Um único prompt não pode garantir que 100% dos requisitos aplicáveis foram avaliados.</w:t>
      </w:r>
    </w:p>
    <w:p>
      <w:pPr>
        <w:pStyle w:val="BodyText"/>
      </w:pPr>
      <w:r>
        <w:rPr>
          <w:bCs/>
          <w:b/>
        </w:rPr>
        <w:t xml:space="preserve">Alternativa C — Implementar apenas o Gap Engine e o Risk Engine, mantendo o resto.</w:t>
      </w:r>
      <w:r>
        <w:t xml:space="preserve"> </w:t>
      </w:r>
      <w:r>
        <w:t xml:space="preserve">Descartada porque sem o Requirement Engine e o Coverage Engine, o Gap Engine não tem base formal de requisitos para classificar. A arquitetura é sistêmica — cada engine depende da anterior.</w:t>
      </w:r>
    </w:p>
    <w:p>
      <w:r>
        <w:pict>
          <v:rect style="width:0;height:1.5pt" o:hralign="center" o:hrstd="t" o:hr="t"/>
        </w:pict>
      </w:r>
    </w:p>
    <w:bookmarkEnd w:id="26"/>
    <w:bookmarkStart w:id="27" w:name="consequências"/>
    <w:p>
      <w:pPr>
        <w:pStyle w:val="Heading2"/>
      </w:pPr>
      <w:r>
        <w:t xml:space="preserve">Consequências</w:t>
      </w:r>
    </w:p>
    <w:p>
      <w:pPr>
        <w:pStyle w:val="FirstParagraph"/>
      </w:pPr>
      <w:r>
        <w:rPr>
          <w:bCs/>
          <w:b/>
        </w:rPr>
        <w:t xml:space="preserve">Positivas:</w:t>
      </w:r>
      <w:r>
        <w:t xml:space="preserve"> </w:t>
      </w:r>
      <w:r>
        <w:t xml:space="preserve">- Rastreabilidade completa de cada output até o requisito normativo de origem</w:t>
      </w:r>
      <w:r>
        <w:t xml:space="preserve"> </w:t>
      </w:r>
      <w:r>
        <w:t xml:space="preserve">- Coverage regulatório verificável e auditável</w:t>
      </w:r>
      <w:r>
        <w:t xml:space="preserve"> </w:t>
      </w:r>
      <w:r>
        <w:t xml:space="preserve">- Eliminação de alucinações por grounding obrigatório no RAG</w:t>
      </w:r>
      <w:r>
        <w:t xml:space="preserve"> </w:t>
      </w:r>
      <w:r>
        <w:t xml:space="preserve">- Matriz de riscos defensável em auditoria fiscal</w:t>
      </w:r>
      <w:r>
        <w:t xml:space="preserve"> </w:t>
      </w:r>
      <w:r>
        <w:t xml:space="preserve">- Plano de ação executável com prazo e responsável definidos</w:t>
      </w:r>
    </w:p>
    <w:p>
      <w:pPr>
        <w:pStyle w:val="BodyText"/>
      </w:pPr>
      <w:r>
        <w:rPr>
          <w:bCs/>
          <w:b/>
        </w:rPr>
        <w:t xml:space="preserve">Negativas / trade-offs:</w:t>
      </w:r>
      <w:r>
        <w:t xml:space="preserve"> </w:t>
      </w:r>
      <w:r>
        <w:t xml:space="preserve">- Aumento de latência por múltiplas chamadas ao LLM (estimado: +8-15s por projeto)</w:t>
      </w:r>
      <w:r>
        <w:t xml:space="preserve"> </w:t>
      </w:r>
      <w:r>
        <w:t xml:space="preserve">- Necessidade de corpus RAG atualizado e bem indexado para cada legislação</w:t>
      </w:r>
      <w:r>
        <w:t xml:space="preserve"> </w:t>
      </w:r>
      <w:r>
        <w:t xml:space="preserve">- Complexidade de implementação maior (6 engines vs. 1 prompt)</w:t>
      </w:r>
    </w:p>
    <w:p>
      <w:pPr>
        <w:pStyle w:val="BodyText"/>
      </w:pPr>
      <w:r>
        <w:rPr>
          <w:bCs/>
          <w:b/>
        </w:rPr>
        <w:t xml:space="preserve">Mitigações:</w:t>
      </w:r>
      <w:r>
        <w:t xml:space="preserve"> </w:t>
      </w:r>
      <w:r>
        <w:t xml:space="preserve">- Cache de requisitos por perfil de empresa (CNAE + porte + regime) para reduzir latência</w:t>
      </w:r>
      <w:r>
        <w:t xml:space="preserve"> </w:t>
      </w:r>
      <w:r>
        <w:t xml:space="preserve">- Pipeline assíncrono com streaming de resultados parciais para o frontend</w:t>
      </w:r>
      <w:r>
        <w:t xml:space="preserve"> </w:t>
      </w:r>
      <w:r>
        <w:t xml:space="preserve">- Corpus RAG versionado com data de última atualização visível no briefing</w:t>
      </w:r>
    </w:p>
    <w:p>
      <w:r>
        <w:pict>
          <v:rect style="width:0;height:1.5pt" o:hralign="center" o:hrstd="t" o:hr="t"/>
        </w:pict>
      </w:r>
    </w:p>
    <w:bookmarkEnd w:id="27"/>
    <w:bookmarkStart w:id="28" w:name="critérios-de-sucesso"/>
    <w:p>
      <w:pPr>
        <w:pStyle w:val="Heading2"/>
      </w:pPr>
      <w:r>
        <w:t xml:space="preserve">Critérios de sucesso</w:t>
      </w:r>
    </w:p>
    <w:p>
      <w:pPr>
        <w:pStyle w:val="FirstParagraph"/>
      </w:pPr>
      <w:r>
        <w:t xml:space="preserve">A implementação desta arquitetura será considerada bem-sucedida quando: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168"/>
        <w:gridCol w:w="1900"/>
        <w:gridCol w:w="28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Critério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Confidence Score semântico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  <w:r>
              <w:t xml:space="preserve"> </w:t>
            </w:r>
            <w:r>
              <w:rPr>
                <w:rStyle w:val="VerbatimChar"/>
              </w:rPr>
              <w:t xml:space="preserve">/admin/confidence-score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Coverage regulatório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Engine + Shadow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Perguntas com fonte normativa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do Question 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Riscos com gap de 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do Risk 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Ações com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do Action 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Aprovação UAT advogados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 de feedback UAT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4" w:name="referências"/>
    <w:p>
      <w:pPr>
        <w:pStyle w:val="Heading2"/>
      </w:pPr>
      <w:r>
        <w:t xml:space="preserve">Referências</w:t>
      </w:r>
    </w:p>
    <w:p>
      <w:pPr>
        <w:numPr>
          <w:ilvl w:val="0"/>
          <w:numId w:val="1001"/>
        </w:numPr>
        <w:pStyle w:val="Compact"/>
      </w:pPr>
      <w:hyperlink r:id="rId29">
        <w:r>
          <w:rPr>
            <w:rStyle w:val="Hyperlink"/>
          </w:rPr>
          <w:t xml:space="preserve">Tabela de Melhorias Técnicas HOW v1</w:t>
        </w:r>
      </w:hyperlink>
    </w:p>
    <w:p>
      <w:pPr>
        <w:numPr>
          <w:ilvl w:val="0"/>
          <w:numId w:val="1001"/>
        </w:numPr>
        <w:pStyle w:val="Compact"/>
      </w:pPr>
      <w:hyperlink r:id="rId30">
        <w:r>
          <w:rPr>
            <w:rStyle w:val="Hyperlink"/>
          </w:rPr>
          <w:t xml:space="preserve">Requisitos Funcionais v6.0</w:t>
        </w:r>
      </w:hyperlink>
    </w:p>
    <w:p>
      <w:pPr>
        <w:numPr>
          <w:ilvl w:val="0"/>
          <w:numId w:val="1001"/>
        </w:numPr>
        <w:pStyle w:val="Compact"/>
      </w:pPr>
      <w:hyperlink r:id="rId31">
        <w:r>
          <w:rPr>
            <w:rStyle w:val="Hyperlink"/>
          </w:rPr>
          <w:t xml:space="preserve">ADR-005 — Diagnóstico Dual V1/V3</w:t>
        </w:r>
      </w:hyperlink>
    </w:p>
    <w:p>
      <w:pPr>
        <w:numPr>
          <w:ilvl w:val="0"/>
          <w:numId w:val="1001"/>
        </w:numPr>
        <w:pStyle w:val="Compact"/>
      </w:pPr>
      <w:hyperlink r:id="rId32">
        <w:r>
          <w:rPr>
            <w:rStyle w:val="Hyperlink"/>
          </w:rPr>
          <w:t xml:space="preserve">ADR-007 — Gate de Retrocesso</w:t>
        </w:r>
      </w:hyperlink>
    </w:p>
    <w:p>
      <w:pPr>
        <w:numPr>
          <w:ilvl w:val="0"/>
          <w:numId w:val="1001"/>
        </w:numPr>
        <w:pStyle w:val="Compact"/>
      </w:pPr>
      <w:hyperlink r:id="rId33">
        <w:r>
          <w:rPr>
            <w:rStyle w:val="Hyperlink"/>
          </w:rPr>
          <w:t xml:space="preserve">ADR-008 — Estratégia de Migração Schema</w:t>
        </w:r>
      </w:hyperlink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Issue #63 — ADR-010</w:t>
        </w:r>
      </w:hyperlink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Milestone Sprint-98-Confidence</w:t>
        </w:r>
      </w:hyperlink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../product/cpie-v2/produto/REQUISITOS-FUNCIONAIS-v6.md" TargetMode="External" /><Relationship Type="http://schemas.openxmlformats.org/officeDocument/2006/relationships/hyperlink" Id="rId29" Target="../product/cpie-v2/produto/TABELA-MELHORIAS-TECNICAS-HOW-v1.md" TargetMode="External" /><Relationship Type="http://schemas.openxmlformats.org/officeDocument/2006/relationships/hyperlink" Id="rId31" Target="ADR-005-diagnostico-dual-v1-v3.md" TargetMode="External" /><Relationship Type="http://schemas.openxmlformats.org/officeDocument/2006/relationships/hyperlink" Id="rId32" Target="ADR-007-gate-retrocesso.md" TargetMode="External" /><Relationship Type="http://schemas.openxmlformats.org/officeDocument/2006/relationships/hyperlink" Id="rId33" Target="ADR-008-migracao-schema.md" TargetMode="External" /><Relationship Type="http://schemas.openxmlformats.org/officeDocument/2006/relationships/hyperlink" Id="rId20" Target="https://github.com/Solaris-Empresa/compliance-tributaria-v2/issues/63" TargetMode="External" /><Relationship Type="http://schemas.openxmlformats.org/officeDocument/2006/relationships/hyperlink" Id="rId21" Target="https://github.com/Solaris-Empresa/compliance-tributaria-v2/milestone/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product/cpie-v2/produto/REQUISITOS-FUNCIONAIS-v6.md" TargetMode="External" /><Relationship Type="http://schemas.openxmlformats.org/officeDocument/2006/relationships/hyperlink" Id="rId29" Target="../product/cpie-v2/produto/TABELA-MELHORIAS-TECNICAS-HOW-v1.md" TargetMode="External" /><Relationship Type="http://schemas.openxmlformats.org/officeDocument/2006/relationships/hyperlink" Id="rId31" Target="ADR-005-diagnostico-dual-v1-v3.md" TargetMode="External" /><Relationship Type="http://schemas.openxmlformats.org/officeDocument/2006/relationships/hyperlink" Id="rId32" Target="ADR-007-gate-retrocesso.md" TargetMode="External" /><Relationship Type="http://schemas.openxmlformats.org/officeDocument/2006/relationships/hyperlink" Id="rId33" Target="ADR-008-migracao-schema.md" TargetMode="External" /><Relationship Type="http://schemas.openxmlformats.org/officeDocument/2006/relationships/hyperlink" Id="rId20" Target="https://github.com/Solaris-Empresa/compliance-tributaria-v2/issues/63" TargetMode="External" /><Relationship Type="http://schemas.openxmlformats.org/officeDocument/2006/relationships/hyperlink" Id="rId21" Target="https://github.com/Solaris-Empresa/compliance-tributaria-v2/milestone/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2026-03-24T01:40:12Z</dcterms:created>
  <dcterms:modified xsi:type="dcterms:W3CDTF">2026-03-24T01:40:12Z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