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604144ee8ec78c8c800fcc0d407f21d9c86c43"/>
    <w:p>
      <w:pPr>
        <w:pStyle w:val="Heading1"/>
      </w:pPr>
      <w:r>
        <w:t xml:space="preserve">Matriz de Rastreabilidade: Requisito → Pergunta → Gap → Risco → Ação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2026-03-23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Proposta — aguardando aprovação do Orquestrador (gate B1)</w:t>
      </w:r>
      <w:r>
        <w:br/>
      </w:r>
      <w:r>
        <w:rPr>
          <w:bCs/>
          <w:b/>
        </w:rPr>
        <w:t xml:space="preserve">Issue:</w:t>
      </w:r>
      <w:r>
        <w:t xml:space="preserve"> </w:t>
      </w:r>
      <w:hyperlink r:id="rId20">
        <w:r>
          <w:rPr>
            <w:rStyle w:val="Hyperlink"/>
          </w:rPr>
          <w:t xml:space="preserve">#65</w:t>
        </w:r>
      </w:hyperlink>
      <w:r>
        <w:br/>
      </w:r>
      <w:r>
        <w:rPr>
          <w:bCs/>
          <w:b/>
        </w:rPr>
        <w:t xml:space="preserve">ADR:</w:t>
      </w:r>
      <w:r>
        <w:t xml:space="preserve"> </w:t>
      </w:r>
      <w:hyperlink r:id="rId21">
        <w:r>
          <w:rPr>
            <w:rStyle w:val="Hyperlink"/>
          </w:rPr>
          <w:t xml:space="preserve">ADR-010</w:t>
        </w:r>
      </w:hyperlink>
    </w:p>
    <w:p>
      <w:r>
        <w:pict>
          <v:rect style="width:0;height:1.5pt" o:hralign="center" o:hrstd="t" o:hr="t"/>
        </w:pict>
      </w:r>
    </w:p>
    <w:bookmarkStart w:id="22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Este documento formaliza a cadeia de rastreabilidade completa da plataforma IA SOLARIS: cada requisito normativo aplicável deve ser rastreável até a ação corretiva, sem lacunas. A cadeia é inviolável — nenhum nó pode existir sem o nó anterior.</w:t>
      </w:r>
    </w:p>
    <w:p>
      <w:pPr>
        <w:pStyle w:val="SourceCode"/>
      </w:pPr>
      <w:r>
        <w:rPr>
          <w:rStyle w:val="VerbatimChar"/>
        </w:rPr>
        <w:t xml:space="preserve">RF-001 (LC 214 Art. 10)</w:t>
      </w:r>
      <w:r>
        <w:br/>
      </w:r>
      <w:r>
        <w:rPr>
          <w:rStyle w:val="VerbatimChar"/>
        </w:rPr>
        <w:t xml:space="preserve">  └── Q-001 (pergunta gerada pelo Question Engine)</w:t>
      </w:r>
      <w:r>
        <w:br/>
      </w:r>
      <w:r>
        <w:rPr>
          <w:rStyle w:val="VerbatimChar"/>
        </w:rPr>
        <w:t xml:space="preserve">        └── GAP-001 (classificado pelo Gap Engine)</w:t>
      </w:r>
      <w:r>
        <w:br/>
      </w:r>
      <w:r>
        <w:rPr>
          <w:rStyle w:val="VerbatimChar"/>
        </w:rPr>
        <w:t xml:space="preserve">              └── RISK-001 (gerado pelo Risk Engine)</w:t>
      </w:r>
      <w:r>
        <w:br/>
      </w:r>
      <w:r>
        <w:rPr>
          <w:rStyle w:val="VerbatimChar"/>
        </w:rPr>
        <w:t xml:space="preserve">                    └── ACTION-001 (gerada pelo Action Engine)</w:t>
      </w:r>
    </w:p>
    <w:p>
      <w:r>
        <w:pict>
          <v:rect style="width:0;height:1.5pt" o:hralign="center" o:hrstd="t" o:hr="t"/>
        </w:pict>
      </w:r>
    </w:p>
    <w:bookmarkEnd w:id="22"/>
    <w:bookmarkStart w:id="28" w:name="schema-canônico-por-nó"/>
    <w:p>
      <w:pPr>
        <w:pStyle w:val="Heading2"/>
      </w:pPr>
      <w:r>
        <w:t xml:space="preserve">Schema canônico por nó</w:t>
      </w:r>
    </w:p>
    <w:bookmarkStart w:id="23" w:name="nó-1-requisito-requirement"/>
    <w:p>
      <w:pPr>
        <w:pStyle w:val="Heading3"/>
      </w:pPr>
      <w:r>
        <w:t xml:space="preserve">Nó 1 — Requisito (Requirement)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Requirement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"RF-001"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"LC 214/2024 Art. 10 §2º"</w:t>
      </w:r>
      <w:r>
        <w:br/>
      </w:r>
      <w:r>
        <w:rPr>
          <w:rStyle w:val="NormalTok"/>
        </w:rPr>
        <w:t xml:space="preserve">  source_law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"LC 214/2024"</w:t>
      </w:r>
      <w:r>
        <w:br/>
      </w:r>
      <w:r>
        <w:rPr>
          <w:rStyle w:val="NormalTok"/>
        </w:rPr>
        <w:t xml:space="preserve">  source_article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"Art. 10 §2º"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Descrição do requisito</w:t>
      </w:r>
      <w:r>
        <w:br/>
      </w:r>
      <w:r>
        <w:rPr>
          <w:rStyle w:val="NormalTok"/>
        </w:rPr>
        <w:t xml:space="preserve">  applicable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true = aplicável ao perfil da empresa</w:t>
      </w:r>
      <w:r>
        <w:br/>
      </w:r>
      <w:r>
        <w:rPr>
          <w:rStyle w:val="NormalTok"/>
        </w:rPr>
        <w:t xml:space="preserve">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"corporativo"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"operacional"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cnae_scope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CNAEs para os quais este requisito é aplicável</w:t>
      </w:r>
      <w:r>
        <w:br/>
      </w:r>
      <w:r>
        <w:rPr>
          <w:rStyle w:val="NormalTok"/>
        </w:rPr>
        <w:t xml:space="preserve">  porte_scope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Portes para os quais é aplicável</w:t>
      </w:r>
      <w:r>
        <w:br/>
      </w:r>
      <w:r>
        <w:rPr>
          <w:rStyle w:val="NormalTok"/>
        </w:rPr>
        <w:t xml:space="preserve">  regime_scope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Regimes tributários aplicáveis</w:t>
      </w:r>
      <w:r>
        <w:br/>
      </w:r>
      <w:r>
        <w:rPr>
          <w:rStyle w:val="NormalTok"/>
        </w:rPr>
        <w:t xml:space="preserve">  uf_scope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UFs aplicáveis ([] = todas)</w:t>
      </w:r>
      <w:r>
        <w:br/>
      </w:r>
      <w:r>
        <w:rPr>
          <w:rStyle w:val="NormalTok"/>
        </w:rPr>
        <w:t xml:space="preserve">  mandatory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true = obrigatório, false = condicional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nó-2-pergunta-question"/>
    <w:p>
      <w:pPr>
        <w:pStyle w:val="Heading3"/>
      </w:pPr>
      <w:r>
        <w:t xml:space="preserve">Nó 2 — Pergunta (Question)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"Q-CORP-001"</w:t>
      </w:r>
      <w:r>
        <w:br/>
      </w:r>
      <w:r>
        <w:rPr>
          <w:rStyle w:val="NormalTok"/>
        </w:rPr>
        <w:t xml:space="preserve">  requirement_id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"RF-001" — OBRIGATÓRIO</w:t>
      </w:r>
      <w:r>
        <w:br/>
      </w:r>
      <w:r>
        <w:rPr>
          <w:rStyle w:val="NormalTok"/>
        </w:rPr>
        <w:t xml:space="preserve">  question_text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Texto da pergunta</w:t>
      </w:r>
      <w:r>
        <w:br/>
      </w:r>
      <w:r>
        <w:rPr>
          <w:rStyle w:val="NormalTok"/>
        </w:rPr>
        <w:t xml:space="preserve">  source_type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"regulatory"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"jurisprudence"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"best_practice"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"LC 214/2024 Art. 10 §2º" — OBRIGATÓRIO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1.0 a 5.0 (LLM-as-judge)</w:t>
      </w:r>
      <w:r>
        <w:br/>
      </w:r>
      <w:r>
        <w:rPr>
          <w:rStyle w:val="NormalTok"/>
        </w:rPr>
        <w:t xml:space="preserve"> 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"corporativo"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"operacional"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cnae_code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Preenchido apenas para stage "cnae"</w:t>
      </w:r>
      <w:r>
        <w:br/>
      </w:r>
      <w:r>
        <w:rPr>
          <w:rStyle w:val="NormalTok"/>
        </w:rPr>
        <w:t xml:space="preserve">  deduplication_hash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Hash semântico para deduplicação</w:t>
      </w:r>
      <w:r>
        <w:br/>
      </w:r>
      <w:r>
        <w:rPr>
          <w:rStyle w:val="NormalTok"/>
        </w:rPr>
        <w:t xml:space="preserve">  blocked_by_no_question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= bloqueada por falta de grounding RAG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rPr>
          <w:rStyle w:val="VerbatimChar"/>
        </w:rPr>
        <w:t xml:space="preserve">source_type === "ai"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confidence: "low"</w:t>
      </w:r>
      <w:r>
        <w:t xml:space="preserve">, requer revisão humana.</w:t>
      </w:r>
      <w:r>
        <w:br/>
      </w:r>
      <w:r>
        <w:rPr>
          <w:bCs/>
          <w:b/>
        </w:rPr>
        <w:t xml:space="preserve">Regra:</w:t>
      </w:r>
      <w:r>
        <w:t xml:space="preserve"> </w:t>
      </w:r>
      <w:r>
        <w:rPr>
          <w:rStyle w:val="VerbatimChar"/>
        </w:rPr>
        <w:t xml:space="preserve">blocked_by_no_question === true</w:t>
      </w:r>
      <w:r>
        <w:t xml:space="preserve"> </w:t>
      </w:r>
      <w:r>
        <w:t xml:space="preserve">→ pergunta não incluída no questionário.</w:t>
      </w:r>
    </w:p>
    <w:bookmarkEnd w:id="24"/>
    <w:bookmarkStart w:id="25" w:name="nó-3-gap"/>
    <w:p>
      <w:pPr>
        <w:pStyle w:val="Heading3"/>
      </w:pPr>
      <w:r>
        <w:t xml:space="preserve">Nó 3 — Gap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Gap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"GAP-001"</w:t>
      </w:r>
      <w:r>
        <w:br/>
      </w:r>
      <w:r>
        <w:rPr>
          <w:rStyle w:val="NormalTok"/>
        </w:rPr>
        <w:t xml:space="preserve">  question_id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"Q-CORP-001" — OBRIGATÓRIO</w:t>
      </w:r>
      <w:r>
        <w:br/>
      </w:r>
      <w:r>
        <w:rPr>
          <w:rStyle w:val="NormalTok"/>
        </w:rPr>
        <w:t xml:space="preserve">  requirement_id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"RF-001" — OBRIGATÓRIO</w:t>
      </w:r>
      <w:r>
        <w:br/>
      </w:r>
      <w:r>
        <w:rPr>
          <w:rStyle w:val="NormalTok"/>
        </w:rPr>
        <w:t xml:space="preserve">  gap_status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"nao_atende"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"parcial"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"evidencia_insuficiente"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"nao_aplicavel"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Resposta do usuário que fundamenta a classificação</w:t>
      </w:r>
      <w:r>
        <w:br/>
      </w:r>
      <w:r>
        <w:rPr>
          <w:rStyle w:val="NormalTok"/>
        </w:rPr>
        <w:t xml:space="preserve">  classification_method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"llm_assisted"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llm_justification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Preenchido quando classification_method = "llm_assisted"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rPr>
          <w:rStyle w:val="VerbatimChar"/>
        </w:rPr>
        <w:t xml:space="preserve">gap_status === "nao_aplicavel"</w:t>
      </w:r>
      <w:r>
        <w:t xml:space="preserve"> </w:t>
      </w:r>
      <w:r>
        <w:t xml:space="preserve">→ excluído do cálculo de coverage.</w:t>
      </w:r>
      <w:r>
        <w:br/>
      </w:r>
      <w:r>
        <w:rPr>
          <w:bCs/>
          <w:b/>
        </w:rPr>
        <w:t xml:space="preserve">Regra:</w:t>
      </w:r>
      <w:r>
        <w:t xml:space="preserve"> </w:t>
      </w:r>
      <w:r>
        <w:rPr>
          <w:rStyle w:val="VerbatimChar"/>
        </w:rPr>
        <w:t xml:space="preserve">gap_status === "evidencia_insuficiente"</w:t>
      </w:r>
      <w:r>
        <w:t xml:space="preserve"> </w:t>
      </w:r>
      <w:r>
        <w:t xml:space="preserve">→ tratado como risco oculto de alta severidade.</w:t>
      </w:r>
    </w:p>
    <w:bookmarkEnd w:id="25"/>
    <w:bookmarkStart w:id="26" w:name="nó-4-risco-risk"/>
    <w:p>
      <w:pPr>
        <w:pStyle w:val="Heading3"/>
      </w:pPr>
      <w:r>
        <w:t xml:space="preserve">Nó 4 — Risco (Risk)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Risk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"RISK-001"</w:t>
      </w:r>
      <w:r>
        <w:br/>
      </w:r>
      <w:r>
        <w:rPr>
          <w:rStyle w:val="NormalTok"/>
        </w:rPr>
        <w:t xml:space="preserve">  gap_id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"GAP-001" — OBRIGATÓRIO</w:t>
      </w:r>
      <w:r>
        <w:br/>
      </w:r>
      <w:r>
        <w:rPr>
          <w:rStyle w:val="NormalTok"/>
        </w:rPr>
        <w:t xml:space="preserve">  requirement_id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"RF-001" — OBRIGATÓRIO</w:t>
      </w:r>
      <w:r>
        <w:br/>
      </w:r>
      <w:r>
        <w:rPr>
          <w:rStyle w:val="NormalTok"/>
        </w:rPr>
        <w:t xml:space="preserve">  taxonomy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"tributário"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"trabalhista"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"previdenciário"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"societário"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"operacional"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"apuração" | "recolhimento" | "obrigações_acessórias" | ...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"erro_aliquota_cbs" | "atraso_recolhimento_ibs" |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risk_description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"baixa"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probability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"baixa"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score_base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severity_num × probability_num (1-9)</w:t>
      </w:r>
      <w:r>
        <w:br/>
      </w:r>
      <w:r>
        <w:rPr>
          <w:rStyle w:val="NormalTok"/>
        </w:rPr>
        <w:t xml:space="preserve">  ia_adjustment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-1.0 a +1.0</w:t>
      </w:r>
      <w:r>
        <w:br/>
      </w:r>
      <w:r>
        <w:rPr>
          <w:rStyle w:val="NormalTok"/>
        </w:rPr>
        <w:t xml:space="preserve">  ia_adjustment_justification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score_final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score_base + ia_adjustment (normalizado 1-10)</w:t>
      </w:r>
      <w:r>
        <w:br/>
      </w:r>
      <w:r>
        <w:rPr>
          <w:rStyle w:val="NormalTok"/>
        </w:rPr>
        <w:t xml:space="preserve">  impact_financial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"Multa de até 150% do tributo devido"</w:t>
      </w:r>
      <w:r>
        <w:br/>
      </w:r>
      <w:r>
        <w:rPr>
          <w:rStyle w:val="NormalTok"/>
        </w:rPr>
        <w:t xml:space="preserve">  impact_legal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"Autuação fiscal + juros SELIC"</w:t>
      </w:r>
      <w:r>
        <w:br/>
      </w:r>
      <w:r>
        <w:rPr>
          <w:rStyle w:val="NormalTok"/>
        </w:rPr>
        <w:t xml:space="preserve">  cluster_id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ID do cluster semântico (quando agrupado)</w:t>
      </w:r>
      <w:r>
        <w:br/>
      </w:r>
      <w:r>
        <w:rPr>
          <w:rStyle w:val="NormalTok"/>
        </w:rPr>
        <w:t xml:space="preserve">  is_hidden_risk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 quando origem é evidencia_insuficiente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risco sem</w:t>
      </w:r>
      <w:r>
        <w:t xml:space="preserve"> </w:t>
      </w:r>
      <w:r>
        <w:rPr>
          <w:rStyle w:val="VerbatimChar"/>
        </w:rPr>
        <w:t xml:space="preserve">gap_id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não existe</w:t>
      </w:r>
      <w:r>
        <w:t xml:space="preserve"> </w:t>
      </w:r>
      <w:r>
        <w:t xml:space="preserve">(bloqueador de implementação).</w:t>
      </w:r>
      <w:r>
        <w:br/>
      </w:r>
      <w:r>
        <w:rPr>
          <w:bCs/>
          <w:b/>
        </w:rPr>
        <w:t xml:space="preserve">Regra:</w:t>
      </w:r>
      <w:r>
        <w:t xml:space="preserve"> </w:t>
      </w:r>
      <w:r>
        <w:rPr>
          <w:rStyle w:val="VerbatimChar"/>
        </w:rPr>
        <w:t xml:space="preserve">is_hidden_risk === true</w:t>
      </w:r>
      <w:r>
        <w:t xml:space="preserve"> </w:t>
      </w:r>
      <w:r>
        <w:t xml:space="preserve">→ severidade padrão</w:t>
      </w:r>
      <w:r>
        <w:t xml:space="preserve"> </w:t>
      </w:r>
      <w:r>
        <w:t xml:space="preserve">“</w:t>
      </w:r>
      <w:r>
        <w:t xml:space="preserve">alta</w:t>
      </w:r>
      <w:r>
        <w:t xml:space="preserve">”</w:t>
      </w:r>
      <w:r>
        <w:t xml:space="preserve">, mesmo sem evidência direta.</w:t>
      </w:r>
    </w:p>
    <w:bookmarkEnd w:id="26"/>
    <w:bookmarkStart w:id="27" w:name="nó-5-ação-action"/>
    <w:p>
      <w:pPr>
        <w:pStyle w:val="Heading3"/>
      </w:pPr>
      <w:r>
        <w:t xml:space="preserve">Nó 5 — Ação (Action)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Action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"ACTION-001"</w:t>
      </w:r>
      <w:r>
        <w:br/>
      </w:r>
      <w:r>
        <w:rPr>
          <w:rStyle w:val="NormalTok"/>
        </w:rPr>
        <w:t xml:space="preserve">  risk_id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"RISK-001" — OBRIGATÓRIO</w:t>
      </w:r>
      <w:r>
        <w:br/>
      </w:r>
      <w:r>
        <w:rPr>
          <w:rStyle w:val="NormalTok"/>
        </w:rPr>
        <w:t xml:space="preserve">  gap_id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"GAP-001" — OBRIGATÓRIO</w:t>
      </w:r>
      <w:r>
        <w:br/>
      </w:r>
      <w:r>
        <w:rPr>
          <w:rStyle w:val="NormalTok"/>
        </w:rPr>
        <w:t xml:space="preserve">  requirement_id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"RF-001" — OBRIGATÓRIO</w:t>
      </w:r>
      <w:r>
        <w:br/>
      </w:r>
      <w:r>
        <w:rPr>
          <w:rStyle w:val="NormalTok"/>
        </w:rPr>
        <w:t xml:space="preserve">  template_id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"ACT-TRIB-001" — OBRIGATÓRIO</w:t>
      </w:r>
      <w:r>
        <w:br/>
      </w:r>
      <w:r>
        <w:rPr>
          <w:rStyle w:val="NormalTok"/>
        </w:rPr>
        <w:t xml:space="preserve">  action_description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Texto da ação (preenchido a partir do template)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"crítica"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"baixa"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deadline_days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Prazo em dias (calculado deterministicamente)</w:t>
      </w:r>
      <w:r>
        <w:br/>
      </w:r>
      <w:r>
        <w:rPr>
          <w:rStyle w:val="NormalTok"/>
        </w:rPr>
        <w:t xml:space="preserve">  deadline_date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Data calculada a partir de deadline_days + data_geração</w:t>
      </w:r>
      <w:r>
        <w:br/>
      </w:r>
      <w:r>
        <w:rPr>
          <w:rStyle w:val="NormalTok"/>
        </w:rPr>
        <w:t xml:space="preserve">  responsible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"contador_tributario" | "advogado_tributarista" | ...</w:t>
      </w:r>
      <w:r>
        <w:br/>
      </w:r>
      <w:r>
        <w:rPr>
          <w:rStyle w:val="NormalTok"/>
        </w:rPr>
        <w:t xml:space="preserve">  evidence_required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"DCTF retificadora ou nota de crédito" — OBRIGATÓRIO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"pendente"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"em_andamento"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"concluída"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"cancelada"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ação sem</w:t>
      </w:r>
      <w:r>
        <w:t xml:space="preserve"> </w:t>
      </w:r>
      <w:r>
        <w:rPr>
          <w:rStyle w:val="VerbatimChar"/>
        </w:rPr>
        <w:t xml:space="preserve">risk_id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não existe</w:t>
      </w:r>
      <w:r>
        <w:t xml:space="preserve"> </w:t>
      </w:r>
      <w:r>
        <w:t xml:space="preserve">(bloqueador de implementação).</w:t>
      </w:r>
      <w:r>
        <w:br/>
      </w:r>
      <w:r>
        <w:rPr>
          <w:bCs/>
          <w:b/>
        </w:rPr>
        <w:t xml:space="preserve">Regra:</w:t>
      </w:r>
      <w:r>
        <w:t xml:space="preserve"> </w:t>
      </w:r>
      <w:r>
        <w:t xml:space="preserve">ação sem</w:t>
      </w:r>
      <w:r>
        <w:t xml:space="preserve"> </w:t>
      </w:r>
      <w:r>
        <w:rPr>
          <w:rStyle w:val="VerbatimChar"/>
        </w:rPr>
        <w:t xml:space="preserve">evidence_required</w:t>
      </w:r>
      <w:r>
        <w:t xml:space="preserve"> </w:t>
      </w:r>
      <w:r>
        <w:t xml:space="preserve">→ incompleta (não pode ser marcada como concluída).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exemplos-concretos-com-requisitos-reais"/>
    <w:p>
      <w:pPr>
        <w:pStyle w:val="Heading2"/>
      </w:pPr>
      <w:r>
        <w:t xml:space="preserve">Exemplos concretos com requisitos reais</w:t>
      </w:r>
    </w:p>
    <w:bookmarkStart w:id="29" w:name="X7c4f6c8637434220d7ed7c033bd3d1fac654aa3"/>
    <w:p>
      <w:pPr>
        <w:pStyle w:val="Heading3"/>
      </w:pPr>
      <w:r>
        <w:t xml:space="preserve">Exemplo 1 — LC 214/2024 Art. 10 (CBS sobre serviços)</w:t>
      </w:r>
    </w:p>
    <w:p>
      <w:pPr>
        <w:pStyle w:val="FirstParagraph"/>
      </w:pPr>
      <w:r>
        <w:rPr>
          <w:bCs/>
          <w:b/>
        </w:rPr>
        <w:t xml:space="preserve">Requisito: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 214/2024 Art. 10 §2º"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"source_law"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 214/2024"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"source_article"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"Art. 10 §2º"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"Empresas prestadoras de serviços sujeitas ao CBS devem apurar o tributo sobre a receita bruta de serviços, excluídas as deduções previstas em lei"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"cnae_scope"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"Lucro Presumido"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"Lucro Real"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Pergunta: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"Q-CORP-001"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"Sua empresa apura e recolhe CBS sobre a receita bruta de serviços, aplicando corretamente as deduções previstas na LC 214/2024?"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 214/2024 Art. 10 §2º"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"corporativo"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Gap: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"Q-CORP-001"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"nao_atende"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 declarou que ainda não adaptou o sistema de apuração para a nova alíquota CBS"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Risco: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"taxonomy"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"tributário"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"apuração"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"erro_aliquota_cbs"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"Apuração incorreta de CBS sobre receita de serviços, com risco de autuação fiscal retroativa"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"ia_adjustment_justification"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 em período de transição com prazo legal próximo"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"impact_financial"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"Multa de 75% a 150% do tributo devido + juros SELIC"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"impact_legal"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 de infração + representação fiscal para fins penais se valor &gt; R$2,5M"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"is_hidden_risk"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"ACT-TRIB-001"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"Revisar e atualizar o sistema de apuração de CBS para operações de prestação de serviços, corrigindo a alíquota e as deduções conforme LC 214/2024 Art. 10 §2º. Emitir DCTF retificadora para os períodos afetados."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"crítica"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"contador_tributario"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"DCTF retificadora protocolada + comprovante de recolhimento do tributo complementar"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Xc3ebd20846f691244999075cd7a158dbe8b41b2"/>
    <w:p>
      <w:pPr>
        <w:pStyle w:val="Heading3"/>
      </w:pPr>
      <w:r>
        <w:t xml:space="preserve">Exemplo 2 — EC 132/2023 (Reforma Tributária — IBS)</w:t>
      </w:r>
    </w:p>
    <w:p>
      <w:pPr>
        <w:pStyle w:val="FirstParagraph"/>
      </w:pPr>
      <w:r>
        <w:rPr>
          <w:bCs/>
          <w:b/>
        </w:rPr>
        <w:t xml:space="preserve">Requisito: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 132/2023 Art. 156-A"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"source_law"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 132/2023"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"source_article"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"Art. 156-A"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"Empresas com operações interestaduais devem apurar o IBS com base na alíquota do estado de destino da operação"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"cnae_scope"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"Lucro Presumido"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"Lucro Real"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Pergunta: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"Q-OPER-045"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 operações interestaduais, sua empresa já adaptou o sistema de faturamento para aplicar a alíquota do IBS do estado de destino, conforme exigido pela EC 132/2023?"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 132/2023 Art. 156-A"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"operacional"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Gap: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"Q-OPER-045"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"evidencia_insuficiente"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 declarou 'estamos verificando com o sistema', sem evidência objetiva de adaptação"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Risco (oculto — evidência insuficiente):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"taxonomy"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"tributário"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"apuração"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"ibs_interestadual_sem_evidencia"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"Risco oculto de apuração incorreta do IBS interestadual. A empresa não apresentou evidência de adaptação do sistema."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"impact_financial"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"Diferença de alíquota IBS interestadual + multa de 75%"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"impact_legal"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"Autuação fiscal pelo estado de destino"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"is_hidden_risk"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"ACT-TRIB-IBS-001"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"Solicitar ao departamento de TI ou ao fornecedor do ERP documentação comprobatória de que o sistema de faturamento foi atualizado para aplicar a alíquota do IBS do estado de destino em operações interestaduais, conforme EC 132/2023 Art. 156-A."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"crítica"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"contador_tributario"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"Documentação técnica do ERP ou relatório de testes demonstrando a aplicação correta da alíquota IBS por estado de destino"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Xe6cd6436edb3656f11930c016e3b9fbddc83dbc"/>
    <w:p>
      <w:pPr>
        <w:pStyle w:val="Heading3"/>
      </w:pPr>
      <w:r>
        <w:t xml:space="preserve">Exemplo 3 — LC 224/2024 (Benefícios Fiscais — Setor de Varejo)</w:t>
      </w:r>
    </w:p>
    <w:p>
      <w:pPr>
        <w:pStyle w:val="FirstParagraph"/>
      </w:pPr>
      <w:r>
        <w:rPr>
          <w:bCs/>
          <w:b/>
        </w:rPr>
        <w:t xml:space="preserve">Requisito: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 224/2024 Art. 8º"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"source_law"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 224/2024"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"source_article"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"Art. 8º"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"Empresas do setor varejista (CNAE 47xx) podem solicitar crédito presumido de CBS sobre insumos adquiridos de produtores rurais, desde que comprovem a cadeia de aquisição"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"cnae_scope"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"4711-3/01"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"4711-3/02"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"4712-1/00"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"EPP"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"Lucro Presumido"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"Lucro Real"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Pergunta: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"Q-CNAE-067"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"Sua empresa adquire produtos de produtores rurais para revenda? Se sim, possui documentação comprobatória (notas fiscais de produtor rural) para solicitar o crédito presumido de CBS previsto na LC 224/2024?"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 224/2024 Art. 8º"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"cnae"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"cnae_code"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"4711-3/01"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Gap: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"Q-CNAE-067"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 adquire de produtores rurais mas não possui toda a documentação organizada para solicitar o crédito"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Risco: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"taxonomy"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"tributário"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"benefícios_fiscais"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"credito_presumido_cbs_nao_aproveitado"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"Perda de crédito presumido de CBS sobre aquisições de produtores rurais por falta de documentação organizada"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"score_final"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"impact_financial"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"Perda estimada de R$X em créditos tributários não aproveitados (calcular com base no volume de compras de produtores rurais)"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"impact_legal"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 risco de autuação — risco de oportunidade perdida"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"is_hidden_risk"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"ACT-TRIB-CREDITO-001"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"Organizar e arquivar todas as notas fiscais de produtor rural dos últimos 5 anos. Calcular o montante de crédito presumido de CBS não aproveitado. Protocolar pedido de aproveitamento retroativo junto à Receita Federal, conforme LC 224/2024 Art. 8º."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"contador_tributario"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"Planilha de notas fiscais de produtor rural organizadas + protocolo do pedido de aproveitamento de crédito"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gras-de-validação-da-cadeia"/>
    <w:p>
      <w:pPr>
        <w:pStyle w:val="Heading2"/>
      </w:pPr>
      <w:r>
        <w:t xml:space="preserve">Regras de validação da cadeia</w:t>
      </w:r>
    </w:p>
    <w:p>
      <w:pPr>
        <w:pStyle w:val="FirstParagraph"/>
      </w:pPr>
      <w:r>
        <w:t xml:space="preserve">As seguintes validações devem ser executadas pelo sistema antes de gerar os outputs: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10"/>
        <w:gridCol w:w="1788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Bloqueador?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 sem requirement_id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question.requirement_id</w:t>
            </w:r>
            <w:r>
              <w:t xml:space="preserve"> </w:t>
            </w: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 sem source_reference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question.source_reference</w:t>
            </w:r>
            <w:r>
              <w:t xml:space="preserve"> </w:t>
            </w: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 com score &lt;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Descartar ou reformular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sem question_id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gap.question_id</w:t>
            </w:r>
            <w:r>
              <w:t xml:space="preserve"> </w:t>
            </w: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sem requirement_id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gap.requirement_id</w:t>
            </w:r>
            <w:r>
              <w:t xml:space="preserve"> </w:t>
            </w: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 sem gap_id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risk.gap_id</w:t>
            </w:r>
            <w:r>
              <w:t xml:space="preserve"> </w:t>
            </w: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 sem impact_financial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risk.impact_financial</w:t>
            </w:r>
            <w:r>
              <w:t xml:space="preserve"> </w:t>
            </w: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Ação sem risk_id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action.risk_id</w:t>
            </w:r>
            <w:r>
              <w:t xml:space="preserve"> </w:t>
            </w: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Ação sem evidence_required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action.evidence_required</w:t>
            </w:r>
            <w:r>
              <w:t xml:space="preserve"> </w:t>
            </w: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&lt;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geração do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crítico de 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geração do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ia_adjustment fora de [-1.0, +1.0]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Rejeitar 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9" w:name="referências"/>
    <w:p>
      <w:pPr>
        <w:pStyle w:val="Heading2"/>
      </w:pPr>
      <w:r>
        <w:t xml:space="preserve">Referências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ADR-010 — Arquitetura canônica de conteúdo</w:t>
        </w:r>
      </w:hyperlink>
    </w:p>
    <w:p>
      <w:pPr>
        <w:numPr>
          <w:ilvl w:val="0"/>
          <w:numId w:val="1001"/>
        </w:numPr>
        <w:pStyle w:val="Compact"/>
      </w:pPr>
      <w:hyperlink r:id="rId34">
        <w:r>
          <w:rPr>
            <w:rStyle w:val="Hyperlink"/>
          </w:rPr>
          <w:t xml:space="preserve">Matriz Canônica de Inputs/Outputs</w:t>
        </w:r>
      </w:hyperlink>
    </w:p>
    <w:p>
      <w:pPr>
        <w:numPr>
          <w:ilvl w:val="0"/>
          <w:numId w:val="1001"/>
        </w:numPr>
        <w:pStyle w:val="Compact"/>
      </w:pPr>
      <w:hyperlink r:id="rId35">
        <w:r>
          <w:rPr>
            <w:rStyle w:val="Hyperlink"/>
          </w:rPr>
          <w:t xml:space="preserve">Tabela de Melhorias Técnicas HOW v1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Issue #65</w:t>
        </w:r>
      </w:hyperlink>
    </w:p>
    <w:p>
      <w:pPr>
        <w:numPr>
          <w:ilvl w:val="0"/>
          <w:numId w:val="1001"/>
        </w:numPr>
        <w:pStyle w:val="Compact"/>
      </w:pPr>
      <w:hyperlink r:id="rId36">
        <w:r>
          <w:rPr>
            <w:rStyle w:val="Hyperlink"/>
          </w:rPr>
          <w:t xml:space="preserve">LC 214/2024 — Contribuição sobre Bens e Serviços (CBS)</w:t>
        </w:r>
      </w:hyperlink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EC 132/2023 — Reforma Tributária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LC 224/2024 — IBS e benefícios fiscais</w:t>
        </w:r>
      </w:hyperlink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../adr/ADR-010-content-architecture-98.md" TargetMode="External" /><Relationship Type="http://schemas.openxmlformats.org/officeDocument/2006/relationships/hyperlink" Id="rId34" Target="MATRIZ-CANONICA-INPUTS-OUTPUTS.md" TargetMode="External" /><Relationship Type="http://schemas.openxmlformats.org/officeDocument/2006/relationships/hyperlink" Id="rId35" Target="TABELA-MELHORIAS-TECNICAS-HOW-v1.md" TargetMode="External" /><Relationship Type="http://schemas.openxmlformats.org/officeDocument/2006/relationships/hyperlink" Id="rId20" Target="https://github.com/Solaris-Empresa/compliance-tributaria-v2/issues/65" TargetMode="External" /><Relationship Type="http://schemas.openxmlformats.org/officeDocument/2006/relationships/hyperlink" Id="rId37" Target="https://www.planalto.gov.br/ccivil_03/constituicao/emendas/emc/emc132.htm" TargetMode="External" /><Relationship Type="http://schemas.openxmlformats.org/officeDocument/2006/relationships/hyperlink" Id="rId36" Target="https://www.planalto.gov.br/ccivil_03/leis/lcp/lcp214.htm" TargetMode="External" /><Relationship Type="http://schemas.openxmlformats.org/officeDocument/2006/relationships/hyperlink" Id="rId38" Target="https://www.planalto.gov.br/ccivil_03/leis/lcp/lcp224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adr/ADR-010-content-architecture-98.md" TargetMode="External" /><Relationship Type="http://schemas.openxmlformats.org/officeDocument/2006/relationships/hyperlink" Id="rId34" Target="MATRIZ-CANONICA-INPUTS-OUTPUTS.md" TargetMode="External" /><Relationship Type="http://schemas.openxmlformats.org/officeDocument/2006/relationships/hyperlink" Id="rId35" Target="TABELA-MELHORIAS-TECNICAS-HOW-v1.md" TargetMode="External" /><Relationship Type="http://schemas.openxmlformats.org/officeDocument/2006/relationships/hyperlink" Id="rId20" Target="https://github.com/Solaris-Empresa/compliance-tributaria-v2/issues/65" TargetMode="External" /><Relationship Type="http://schemas.openxmlformats.org/officeDocument/2006/relationships/hyperlink" Id="rId37" Target="https://www.planalto.gov.br/ccivil_03/constituicao/emendas/emc/emc132.htm" TargetMode="External" /><Relationship Type="http://schemas.openxmlformats.org/officeDocument/2006/relationships/hyperlink" Id="rId36" Target="https://www.planalto.gov.br/ccivil_03/leis/lcp/lcp214.htm" TargetMode="External" /><Relationship Type="http://schemas.openxmlformats.org/officeDocument/2006/relationships/hyperlink" Id="rId38" Target="https://www.planalto.gov.br/ccivil_03/leis/lcp/lcp224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2026-03-24T01:40:13Z</dcterms:created>
  <dcterms:modified xsi:type="dcterms:W3CDTF">2026-03-24T01:40:13Z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