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Ekstre Borcu Hattı — Süreç Analizi</w:t>
      </w:r>
    </w:p>
    <w:p>
      <w:r>
        <w:t xml:space="preserve">Hazırlayan: Bireysel Tahsilat İş Analizi Ekibi. Tarih: Eylül 2026. Durum: onaylandı.</w:t>
      </w:r>
    </w:p>
    <w:p>
      <w:pPr>
        <w:pStyle w:val="Heading1"/>
      </w:pPr>
      <w:r>
        <w:t xml:space="preserve">1. Amaç</w:t>
      </w:r>
    </w:p>
    <w:p>
      <w:r>
        <w:t xml:space="preserve">Son ödeme tarihini geçirmiş kredi kartı ekstreleri için ilk aramaları dijital asistana devretmek. Hedef, erken dönemde ödeme sözü oranını artırmak ve zor durumdaki müşterileri doğru ekibe yönlendirmektir.</w:t>
      </w:r>
    </w:p>
    <w:p>
      <w:pPr>
        <w:pStyle w:val="Heading1"/>
      </w:pPr>
      <w:r>
        <w:t xml:space="preserve">2. Mevcut durum</w:t>
      </w:r>
    </w:p>
    <w:tbl>
      <w:tblPr>
        <w:tblStyle w:val="TableGrid"/>
        <w:tblW w:w="0" w:type="auto"/>
      </w:tblPr>
      <w:tblGrid>
        <w:gridCol/>
        <w:gridCol/>
      </w:tblGrid>
      <w:tr>
        <w:tc>
          <w:tcPr>
            <w:tcW w:w="0" w:type="auto"/>
          </w:tcPr>
          <w:p>
            <w:r>
              <w:rPr>
                <w:b/>
              </w:rPr>
              <w:t xml:space="preserve">Gösterge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Ağustos 2026</w:t>
            </w:r>
          </w:p>
        </w:tc>
      </w:tr>
      <w:tr>
        <w:tc>
          <w:tcPr>
            <w:tcW w:w="0" w:type="auto"/>
          </w:tcPr>
          <w:p>
            <w:r>
              <w:t xml:space="preserve">Günlük arama</w:t>
            </w:r>
          </w:p>
        </w:tc>
        <w:tc>
          <w:tcPr>
            <w:tcW w:w="0" w:type="auto"/>
          </w:tcPr>
          <w:p>
            <w:r>
              <w:t xml:space="preserve">≈ 4.200</w:t>
            </w:r>
          </w:p>
        </w:tc>
      </w:tr>
      <w:tr>
        <w:tc>
          <w:tcPr>
            <w:tcW w:w="0" w:type="auto"/>
          </w:tcPr>
          <w:p>
            <w:r>
              <w:t xml:space="preserve">Müşteriye ulaşma oranı</w:t>
            </w:r>
          </w:p>
        </w:tc>
        <w:tc>
          <w:tcPr>
            <w:tcW w:w="0" w:type="auto"/>
          </w:tcPr>
          <w:p>
            <w:r>
              <w:t xml:space="preserve">%61</w:t>
            </w:r>
          </w:p>
        </w:tc>
      </w:tr>
      <w:tr>
        <w:tc>
          <w:tcPr>
            <w:tcW w:w="0" w:type="auto"/>
          </w:tcPr>
          <w:p>
            <w:r>
              <w:t xml:space="preserve">Söz oranı (ulaşılanlarda)</w:t>
            </w:r>
          </w:p>
        </w:tc>
        <w:tc>
          <w:tcPr>
            <w:tcW w:w="0" w:type="auto"/>
          </w:tcPr>
          <w:p>
            <w:r>
              <w:t xml:space="preserve">%38</w:t>
            </w:r>
          </w:p>
        </w:tc>
      </w:tr>
      <w:tr>
        <w:tc>
          <w:tcPr>
            <w:tcW w:w="0" w:type="auto"/>
          </w:tcPr>
          <w:p>
            <w:r>
              <w:t xml:space="preserve">Sözün tutma oranı</w:t>
            </w:r>
          </w:p>
        </w:tc>
        <w:tc>
          <w:tcPr>
            <w:tcW w:w="0" w:type="auto"/>
          </w:tcPr>
          <w:p>
            <w:r>
              <w:t xml:space="preserve">%72</w:t>
            </w:r>
          </w:p>
        </w:tc>
      </w:tr>
      <w:tr>
        <w:tc>
          <w:tcPr>
            <w:tcW w:w="0" w:type="auto"/>
          </w:tcPr>
          <w:p>
            <w:r>
              <w:t xml:space="preserve">Ortalama görüşme süresi</w:t>
            </w:r>
          </w:p>
        </w:tc>
        <w:tc>
          <w:tcPr>
            <w:tcW w:w="0" w:type="auto"/>
          </w:tcPr>
          <w:p>
            <w:r>
              <w:t xml:space="preserve">3 dk 40 sn</w:t>
            </w:r>
          </w:p>
        </w:tc>
      </w:tr>
    </w:tbl>
    <w:p/>
    <w:p>
      <w:pPr>
        <w:pStyle w:val="Heading1"/>
      </w:pPr>
      <w:r>
        <w:t xml:space="preserve">3. Müşteri grupları</w:t>
      </w:r>
    </w:p>
    <w:p>
      <w:pPr>
        <w:pStyle w:val="ListParagraph"/>
      </w:pPr>
      <w:r>
        <w:t xml:space="preserve">• Unutanlar (1–15 gün): çoğu tam ödemeyi aynı hafta yapıyor. Kısa ve net bir hatırlatma yeterli.</w:t>
      </w:r>
    </w:p>
    <w:p>
      <w:pPr>
        <w:pStyle w:val="ListParagraph"/>
      </w:pPr>
      <w:r>
        <w:t xml:space="preserve">• Zorlananlar (16–60 gün): asgari ödeme teklifi ve net bir son tarih işe yarıyor.</w:t>
      </w:r>
    </w:p>
    <w:p>
      <w:pPr>
        <w:pStyle w:val="ListParagraph"/>
      </w:pPr>
      <w:r>
        <w:t xml:space="preserve">• Zor durumdakiler: iş kaybı, hastalık, ailede ölüm. Tahsilat dili yerine Finansal Destek Ekibine yönlendirme.</w:t>
      </w:r>
    </w:p>
    <w:p>
      <w:pPr>
        <w:pStyle w:val="ListParagraph"/>
      </w:pPr>
      <w:r>
        <w:t xml:space="preserve">• İtiraz edenler: harcamayı tanımayanlar. Tartışılmadan not alınır; itiraz süreci ayrı işler.</w:t>
      </w:r>
    </w:p>
    <w:p>
      <w:pPr>
        <w:pStyle w:val="Heading1"/>
      </w:pPr>
      <w:r>
        <w:t xml:space="preserve">4. Gözlenen sorunlar</w:t>
      </w:r>
    </w:p>
    <w:p>
      <w:pPr>
        <w:pStyle w:val="ListParagraph"/>
      </w:pPr>
      <w:r>
        <w:t xml:space="preserve">• Kimlik doğrulanmadan borcun yakınlara söylenmesi (KVKK riski).</w:t>
      </w:r>
    </w:p>
    <w:p>
      <w:pPr>
        <w:pStyle w:val="ListParagraph"/>
      </w:pPr>
      <w:r>
        <w:t xml:space="preserve">• Tatil günlerine söz alınması; söz tutma oranını düşürüyor.</w:t>
      </w:r>
    </w:p>
    <w:p>
      <w:pPr>
        <w:pStyle w:val="ListParagraph"/>
      </w:pPr>
      <w:r>
        <w:t xml:space="preserve">• Servis hatasında müşteriye 'kaydedildi' denmesi; sonradan şikâyet.</w:t>
      </w:r>
    </w:p>
    <w:p>
      <w:pPr>
        <w:pStyle w:val="ListParagraph"/>
      </w:pPr>
      <w:r>
        <w:t xml:space="preserve">• Doğum tarihinde gün ve ayın karıştırılması (ör. 04.09 / 09.04).</w:t>
      </w:r>
    </w:p>
    <w:p>
      <w:pPr>
        <w:pStyle w:val="Heading1"/>
      </w:pPr>
      <w:r>
        <w:t xml:space="preserve">5. Gereksinimler</w:t>
      </w:r>
    </w:p>
    <w:tbl>
      <w:tblPr>
        <w:tblStyle w:val="TableGrid"/>
        <w:tblW w:w="0" w:type="auto"/>
      </w:tblPr>
      <w:tblGrid>
        <w:gridCol/>
        <w:gridCol/>
        <w:gridCol/>
      </w:tblGrid>
      <w:tr>
        <w:tc>
          <w:tcPr>
            <w:tcW w:w="0" w:type="auto"/>
          </w:tcPr>
          <w:p>
            <w:r>
              <w:rPr>
                <w:b/>
              </w:rPr>
              <w:t xml:space="preserve">No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Gereksinim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BRIEF karşılığı</w:t>
            </w:r>
          </w:p>
        </w:tc>
      </w:tr>
      <w:tr>
        <w:tc>
          <w:tcPr>
            <w:tcW w:w="0" w:type="auto"/>
          </w:tcPr>
          <w:p>
            <w:r>
              <w:t xml:space="preserve">G1</w:t>
            </w:r>
          </w:p>
        </w:tc>
        <w:tc>
          <w:tcPr>
            <w:tcW w:w="0" w:type="auto"/>
          </w:tcPr>
          <w:p>
            <w:r>
              <w:t xml:space="preserve">Doğrulamadan önce borçla ilgili hiçbir bilgi verilmez.</w:t>
            </w:r>
          </w:p>
        </w:tc>
        <w:tc>
          <w:tcPr>
            <w:tcW w:w="0" w:type="auto"/>
          </w:tcPr>
          <w:p>
            <w:r>
              <w:t xml:space="preserve">K2, K6</w:t>
            </w:r>
          </w:p>
        </w:tc>
      </w:tr>
      <w:tr>
        <w:tc>
          <w:tcPr>
            <w:tcW w:w="0" w:type="auto"/>
          </w:tcPr>
          <w:p>
            <w:r>
              <w:t xml:space="preserve">G2</w:t>
            </w:r>
          </w:p>
        </w:tc>
        <w:tc>
          <w:tcPr>
            <w:tcW w:w="0" w:type="auto"/>
          </w:tcPr>
          <w:p>
            <w:r>
              <w:t xml:space="preserve">İki soru: doğum tarihi, T.C. kimlik no son 4 hane; toplam 3 hak.</w:t>
            </w:r>
          </w:p>
        </w:tc>
        <w:tc>
          <w:tcPr>
            <w:tcW w:w="0" w:type="auto"/>
          </w:tcPr>
          <w:p>
            <w:r>
              <w:t xml:space="preserve">K12–K16</w:t>
            </w:r>
          </w:p>
        </w:tc>
      </w:tr>
      <w:tr>
        <w:tc>
          <w:tcPr>
            <w:tcW w:w="0" w:type="auto"/>
          </w:tcPr>
          <w:p>
            <w:r>
              <w:t xml:space="preserve">G3</w:t>
            </w:r>
          </w:p>
        </w:tc>
        <w:tc>
          <w:tcPr>
            <w:tcW w:w="0" w:type="auto"/>
          </w:tcPr>
          <w:p>
            <w:r>
              <w:t xml:space="preserve">Söz tarihi iş günü ve banda göre son tarihe kadar.</w:t>
            </w:r>
          </w:p>
        </w:tc>
        <w:tc>
          <w:tcPr>
            <w:tcW w:w="0" w:type="auto"/>
          </w:tcPr>
          <w:p>
            <w:r>
              <w:t xml:space="preserve">K21–K26</w:t>
            </w:r>
          </w:p>
        </w:tc>
      </w:tr>
      <w:tr>
        <w:tc>
          <w:tcPr>
            <w:tcW w:w="0" w:type="auto"/>
          </w:tcPr>
          <w:p>
            <w:r>
              <w:t xml:space="preserve">G4</w:t>
            </w:r>
          </w:p>
        </w:tc>
        <w:tc>
          <w:tcPr>
            <w:tcW w:w="0" w:type="auto"/>
          </w:tcPr>
          <w:p>
            <w:r>
              <w:t xml:space="preserve">Önce tamamı, sonra asgari; asgarinin altı kaydedilmez.</w:t>
            </w:r>
          </w:p>
        </w:tc>
        <w:tc>
          <w:tcPr>
            <w:tcW w:w="0" w:type="auto"/>
          </w:tcPr>
          <w:p>
            <w:r>
              <w:t xml:space="preserve">K27–K30</w:t>
            </w:r>
          </w:p>
        </w:tc>
      </w:tr>
      <w:tr>
        <w:tc>
          <w:tcPr>
            <w:tcW w:w="0" w:type="auto"/>
          </w:tcPr>
          <w:p>
            <w:r>
              <w:t xml:space="preserve">G5</w:t>
            </w:r>
          </w:p>
        </w:tc>
        <w:tc>
          <w:tcPr>
            <w:tcW w:w="0" w:type="auto"/>
          </w:tcPr>
          <w:p>
            <w:r>
              <w:t xml:space="preserve">Söz yalnızca açık onaydan sonra ve servis başarılıysa 'kaydedildi'.</w:t>
            </w:r>
          </w:p>
        </w:tc>
        <w:tc>
          <w:tcPr>
            <w:tcW w:w="0" w:type="auto"/>
          </w:tcPr>
          <w:p>
            <w:r>
              <w:t xml:space="preserve">K36–K39</w:t>
            </w:r>
          </w:p>
        </w:tc>
      </w:tr>
      <w:tr>
        <w:tc>
          <w:tcPr>
            <w:tcW w:w="0" w:type="auto"/>
          </w:tcPr>
          <w:p>
            <w:r>
              <w:t xml:space="preserve">G6</w:t>
            </w:r>
          </w:p>
        </w:tc>
        <w:tc>
          <w:tcPr>
            <w:tcW w:w="0" w:type="auto"/>
          </w:tcPr>
          <w:p>
            <w:r>
              <w:t xml:space="preserve">Zor durum → Finansal Destek; yapılandırma isteği → Yapılandırma Ekibi.</w:t>
            </w:r>
          </w:p>
        </w:tc>
        <w:tc>
          <w:tcPr>
            <w:tcW w:w="0" w:type="auto"/>
          </w:tcPr>
          <w:p>
            <w:r>
              <w:t xml:space="preserve">K34, K40</w:t>
            </w:r>
          </w:p>
        </w:tc>
      </w:tr>
      <w:tr>
        <w:tc>
          <w:tcPr>
            <w:tcW w:w="0" w:type="auto"/>
          </w:tcPr>
          <w:p>
            <w:r>
              <w:t xml:space="preserve">G7</w:t>
            </w:r>
          </w:p>
        </w:tc>
        <w:tc>
          <w:tcPr>
            <w:tcW w:w="0" w:type="auto"/>
          </w:tcPr>
          <w:p>
            <w:r>
              <w:t xml:space="preserve">Ödendi beyanı ve itiraz not olarak kaydedilir.</w:t>
            </w:r>
          </w:p>
        </w:tc>
        <w:tc>
          <w:tcPr>
            <w:tcW w:w="0" w:type="auto"/>
          </w:tcPr>
          <w:p>
            <w:r>
              <w:t xml:space="preserve">K41, K42, K48</w:t>
            </w:r>
          </w:p>
        </w:tc>
      </w:tr>
    </w:tbl>
    <w:p/>
    <w:p>
      <w:pPr>
        <w:pStyle w:val="Heading1"/>
      </w:pPr>
      <w:r>
        <w:t xml:space="preserve">6. Değerlendirilen ama seçilmeyen öneriler</w:t>
      </w:r>
    </w:p>
    <w:p>
      <w:r>
        <w:t xml:space="preserve">Taslakta geç bant için 5 iş günü önerilmişti; risk ekibi 3 iş gününü onayladı (BRIEF K21). Erken bant için 'yaklaşık iki hafta' ifadesi de taslaktan kalmadır; geçerli kural BRIEF'teki tablodur.</w:t>
      </w:r>
    </w:p>
    <w:p>
      <w:r>
        <w:t xml:space="preserve">Asistanın müşteriye 'ne kadar ödeyebilirsiniz' diye sorması önerisi reddedildi.</w:t>
      </w:r>
    </w:p>
    <w:p>
      <w:pPr>
        <w:pStyle w:val="Heading1"/>
      </w:pPr>
      <w:r>
        <w:t xml:space="preserve">7. Ölçüm</w:t>
      </w:r>
    </w:p>
    <w:p>
      <w:r>
        <w:t xml:space="preserve">Her görüşme GorusmeKapat sonuç koduyla raporlanır. Söz kayıtları ve notlar servis kayıt defterinden okunur.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lang w:val="tr-TR"/>
      </w:rPr>
    </w:rPrDefault>
  </w:docDefaults>
  <w:style w:type="paragraph" w:default="1" w:styleId="Normal">
    <w:name w:val="Normal"/>
    <w:qFormat/>
    <w:pPr>
      <w:spacing w:after="80"/>
    </w:pPr>
  </w:style>
  <w:style w:type="paragraph" w:styleId="Title">
    <w:name w:val="Title"/>
    <w:basedOn w:val="Normal"/>
    <w:next w:val="Normal"/>
    <w:qFormat/>
    <w:pPr>
      <w:spacing w:before="240" w:after="120"/>
    </w:pPr>
    <w:rPr>
      <w:b/>
      <w:sz w:val="36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b/>
      <w:sz w:val="30"/>
    </w:rPr>
  </w:style>
  <w:style w:type="paragraph" w:styleId="Heading2">
    <w:name w:val="heading 2"/>
    <w:basedOn w:val="Normal"/>
    <w:next w:val="Normal"/>
    <w:qFormat/>
    <w:pPr>
      <w:spacing w:before="240" w:after="120"/>
    </w:pPr>
    <w:rPr>
      <w:b/>
      <w:sz w:val="26"/>
    </w:rPr>
  </w:style>
  <w:style w:type="paragraph" w:styleId="ListParagraph">
    <w:name w:val="List Paragraph"/>
    <w:basedOn w:val="Normal"/>
    <w:next w:val="Normal"/>
    <w:qFormat/>
    <w:pPr>
      <w:spacing w:before="240" w:after="120"/>
    </w:pPr>
    <w:rPr>
      <w:sz w:val="22"/>
    </w:rPr>
  </w:style>
  <w:style w:type="table" w:styleId="TableGrid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