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1F3A5F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22"/>
              </w:rPr>
              <w:t>传智杯 · AI WEB 网页开发挑战赛 · 技术文档</w:t>
            </w:r>
          </w:p>
        </w:tc>
      </w:tr>
    </w:tbl>
    <w:p/>
    <w:p/>
    <w:p/>
    <w:p>
      <w:pPr>
        <w:jc w:val="center"/>
      </w:pPr>
      <w:r>
        <w:rPr>
          <w:rFonts w:ascii="Segoe UI" w:hAnsi="Segoe UI" w:eastAsia="微软雅黑"/>
          <w:b/>
          <w:i w:val="0"/>
          <w:color w:val="1F3A5F"/>
          <w:sz w:val="80"/>
        </w:rPr>
        <w:t>知行 Agent</w:t>
      </w:r>
    </w:p>
    <w:p>
      <w:pPr>
        <w:jc w:val="center"/>
      </w:pPr>
      <w:r>
        <w:rPr>
          <w:rFonts w:ascii="Segoe UI" w:hAnsi="Segoe UI" w:eastAsia="微软雅黑"/>
          <w:b w:val="0"/>
          <w:i w:val="0"/>
          <w:color w:val="2E5A88"/>
          <w:sz w:val="24"/>
        </w:rPr>
        <w:t>会规划 · 会查证 · 会使用工具 · 会读图的透明化 AI 智能助手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2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条目</w:t>
            </w:r>
          </w:p>
        </w:tc>
        <w:tc>
          <w:tcPr>
            <w:tcW w:type="dxa" w:w="7143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赛道方向</w:t>
            </w:r>
          </w:p>
        </w:tc>
        <w:tc>
          <w:tcPr>
            <w:tcW w:type="dxa" w:w="7143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Agent 智能助手（2026 第九届传智杯全国大学生数智创新与 AI 应用大赛）</w:t>
            </w:r>
          </w:p>
        </w:tc>
      </w:tr>
      <w:tr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参赛组别</w:t>
            </w:r>
          </w:p>
        </w:tc>
        <w:tc>
          <w:tcPr>
            <w:tcW w:type="dxa" w:w="7143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 组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作品形态</w:t>
            </w:r>
          </w:p>
        </w:tc>
        <w:tc>
          <w:tcPr>
            <w:tcW w:type="dxa" w:w="7143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Web 应用（React 18 + Vite 前端 / Node Agent 服务端），已提供公网在线演示</w:t>
            </w:r>
          </w:p>
        </w:tc>
      </w:tr>
      <w:tr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技术关键词</w:t>
            </w:r>
          </w:p>
        </w:tc>
        <w:tc>
          <w:tcPr>
            <w:tcW w:type="dxa" w:w="7143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LLM · AI Agent · Function Calling · MCP · RAG · 多模态 · SSE 流式 · Web Speech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知识库规模</w:t>
            </w:r>
          </w:p>
        </w:tc>
        <w:tc>
          <w:tcPr>
            <w:tcW w:type="dxa" w:w="7143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46 篇（赛事备赛 31 篇 + 校园学习 15 篇，双知识域可切换）</w:t>
            </w:r>
          </w:p>
        </w:tc>
      </w:tr>
      <w:tr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代码与测试</w:t>
            </w:r>
          </w:p>
        </w:tc>
        <w:tc>
          <w:tcPr>
            <w:tcW w:type="dxa" w:w="7143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4800 行 TypeScript，66 项单元测试，ESLint / 类型检查 / 构建全量 CI 门禁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代码仓库</w:t>
            </w:r>
          </w:p>
        </w:tc>
        <w:tc>
          <w:tcPr>
            <w:tcW w:type="dxa" w:w="7143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https://github.com/Solarward-1209/zhixing-agent</w:t>
            </w:r>
          </w:p>
        </w:tc>
      </w:tr>
      <w:tr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文档日期</w:t>
            </w:r>
          </w:p>
        </w:tc>
        <w:tc>
          <w:tcPr>
            <w:tcW w:type="dxa" w:w="7143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 10 月</w:t>
            </w:r>
          </w:p>
        </w:tc>
      </w:tr>
    </w:tbl>
    <w:p>
      <w:pPr>
        <w:spacing w:after="40"/>
      </w:pPr>
    </w:p>
    <w:p>
      <w:pPr>
        <w:spacing w:after="120" w:before="0" w:line="348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团队信息（队伍名称、成员分工、指导老师）见本文档 9.3 节，提交前请核对填写。</w:t>
      </w:r>
    </w:p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目录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color w:val="1F3A5F"/>
          <w:sz w:val="20"/>
        </w:rPr>
        <w:t>1 项目概述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1.1 项目背景与选题方向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1.2 产品定位与核心价值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1.3 主要特性总览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1.4 开发与运行环境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color w:val="1F3A5F"/>
          <w:sz w:val="20"/>
        </w:rPr>
        <w:t>2 需求分析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2.1 目标用户与使用场景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2.2 功能需求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2.3 非功能需求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color w:val="1F3A5F"/>
          <w:sz w:val="20"/>
        </w:rPr>
        <w:t>3 系统架构设计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3.1 总体架构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3.2 事件协议设计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3.3 模块划分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3.4 关键设计决策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color w:val="1F3A5F"/>
          <w:sz w:val="20"/>
        </w:rPr>
        <w:t>4 AI 技术方案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4.1 大模型集成质量（8%）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4.2 Agent 规划与行动循环（8%）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4.3 RAG 多知识域混合检索（6%）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4.4 多模态图片理解（5%）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4.5 AI 安全与可控性（4%）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4.6 MCP 与工具集成（4%）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color w:val="1F3A5F"/>
          <w:sz w:val="20"/>
        </w:rPr>
        <w:t>5 核心功能实现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5.1 执行计划可视化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5.2 流式输出与思考状态可视化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5.3 工具卡片与来源引用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5.4 多知识域与场景迁移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5.5 语音交互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5.6 会话持久化与对话操作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5.7 演示模式设计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color w:val="1F3A5F"/>
          <w:sz w:val="20"/>
        </w:rPr>
        <w:t>6 创新点说明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6.1 技术创新点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6.2 应用创新点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color w:val="1F3A5F"/>
          <w:sz w:val="20"/>
        </w:rPr>
        <w:t>7 社会价值与商业潜力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7.1 社会价值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7.2 目标用户与使用场景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7.3 商业模式与定价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7.4 市场空间估算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7.5 竞争格局与差异化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7.6 成本结构与可持续性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7.7 风险与应对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color w:val="1F3A5F"/>
          <w:sz w:val="20"/>
        </w:rPr>
        <w:t>8 测试与部署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8.1 测试策略与用例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8.2 构建与运行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8.3 部署方案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8.4 评审期服务保障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color w:val="1F3A5F"/>
          <w:sz w:val="20"/>
        </w:rPr>
        <w:t>9 总结与展望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9.1 当前成果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9.2 路线图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i w:val="0"/>
          <w:sz w:val="19"/>
        </w:rPr>
        <w:t>9.3 团队信息</w:t>
      </w:r>
    </w:p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1 项目概述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1.1 项目背景与选题方向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2026 年被业界称为「AI Agent 元年」：大模型的能力边界从生成文本扩展到自主规划与调用工具。与之同时，通用对话产品的信任问题愈发突出——模型会用非常自信的语气给出并不存在的规则、时间与数字，而用户无从判断答案的依据。在教育与知识服务场景中，这种幻觉是致命的：一条错误的报名截止时间可能直接导致学生错过比赛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本作品选择大赛推荐方向中的 </w:t>
      </w:r>
      <w:r>
        <w:rPr>
          <w:rFonts w:ascii="Times New Roman" w:hAnsi="Times New Roman" w:eastAsia="宋体"/>
          <w:b/>
          <w:i w:val="0"/>
          <w:sz w:val="21"/>
        </w:rPr>
        <w:t>AI Agent 智能助手</w:t>
      </w:r>
      <w:r>
        <w:rPr>
          <w:rFonts w:ascii="Times New Roman" w:hAnsi="Times New Roman" w:eastAsia="宋体"/>
          <w:b w:val="0"/>
          <w:i w:val="0"/>
          <w:sz w:val="21"/>
        </w:rPr>
        <w:t>，但不把它做成又一个聊天框，而是回答一个更具体的问题：</w:t>
      </w:r>
      <w:r>
        <w:rPr>
          <w:rFonts w:ascii="Times New Roman" w:hAnsi="Times New Roman" w:eastAsia="宋体"/>
          <w:b/>
          <w:i w:val="0"/>
          <w:sz w:val="21"/>
        </w:rPr>
        <w:t>如何让 AI 的回答变得可核查、可追溯、可解释？</w:t>
      </w:r>
      <w:r>
        <w:rPr>
          <w:rFonts w:ascii="Times New Roman" w:hAnsi="Times New Roman" w:eastAsia="宋体"/>
          <w:b w:val="0"/>
          <w:i w:val="0"/>
          <w:sz w:val="21"/>
        </w:rPr>
        <w:t xml:space="preserve"> 因此我们把「执行过程透明化」作为产品核心，并把「有据可查」作为可信度基线。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1.2 产品定位与核心价值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知行 Agent 是一个透明化的 AI Agent Web 应用。面对复杂问题时，它会先给出</w:t>
      </w:r>
      <w:r>
        <w:rPr>
          <w:rFonts w:ascii="Times New Roman" w:hAnsi="Times New Roman" w:eastAsia="宋体"/>
          <w:b/>
          <w:i w:val="0"/>
          <w:sz w:val="21"/>
        </w:rPr>
        <w:t>可见的执行计划</w:t>
      </w:r>
      <w:r>
        <w:rPr>
          <w:rFonts w:ascii="Times New Roman" w:hAnsi="Times New Roman" w:eastAsia="宋体"/>
          <w:b w:val="0"/>
          <w:i w:val="0"/>
          <w:sz w:val="21"/>
        </w:rPr>
        <w:t>，再按计划</w:t>
      </w:r>
      <w:r>
        <w:rPr>
          <w:rFonts w:ascii="Times New Roman" w:hAnsi="Times New Roman" w:eastAsia="宋体"/>
          <w:b/>
          <w:i w:val="0"/>
          <w:sz w:val="21"/>
        </w:rPr>
        <w:t>检索知识库、调用外部工具</w:t>
      </w:r>
      <w:r>
        <w:rPr>
          <w:rFonts w:ascii="Times New Roman" w:hAnsi="Times New Roman" w:eastAsia="宋体"/>
          <w:b w:val="0"/>
          <w:i w:val="0"/>
          <w:sz w:val="21"/>
        </w:rPr>
        <w:t>，最后以</w:t>
      </w:r>
      <w:r>
        <w:rPr>
          <w:rFonts w:ascii="Times New Roman" w:hAnsi="Times New Roman" w:eastAsia="宋体"/>
          <w:b/>
          <w:i w:val="0"/>
          <w:sz w:val="21"/>
        </w:rPr>
        <w:t>流式输出</w:t>
      </w:r>
      <w:r>
        <w:rPr>
          <w:rFonts w:ascii="Times New Roman" w:hAnsi="Times New Roman" w:eastAsia="宋体"/>
          <w:b w:val="0"/>
          <w:i w:val="0"/>
          <w:sz w:val="21"/>
        </w:rPr>
        <w:t>给出带引用编号的回答；计划、检索、工具调用、引用来源全部在界面上实时呈现。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三条核心价值主张：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过程可信</w:t>
      </w:r>
      <w:r>
        <w:rPr>
          <w:rFonts w:ascii="Times New Roman" w:hAnsi="Times New Roman" w:eastAsia="宋体"/>
          <w:b w:val="0"/>
          <w:i w:val="0"/>
          <w:sz w:val="21"/>
        </w:rPr>
        <w:t>：计划时间线由真实执行动作驱动，用户看到的每一步都确实发生过，不是装饰性动画。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结论可查</w:t>
      </w:r>
      <w:r>
        <w:rPr>
          <w:rFonts w:ascii="Times New Roman" w:hAnsi="Times New Roman" w:eastAsia="宋体"/>
          <w:b w:val="0"/>
          <w:i w:val="0"/>
          <w:sz w:val="21"/>
        </w:rPr>
        <w:t>：知识库检索结果以编号引用标注在句末，来源卡片可悬停查看原文摘要。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能力可迁移</w:t>
      </w:r>
      <w:r>
        <w:rPr>
          <w:rFonts w:ascii="Times New Roman" w:hAnsi="Times New Roman" w:eastAsia="宋体"/>
          <w:b w:val="0"/>
          <w:i w:val="0"/>
          <w:sz w:val="21"/>
        </w:rPr>
        <w:t>：同一套 Agent 架构挂载不同语料即可切换场景（赛事备赛 / 校园学习），工程上以多知识域落地，而不是写死在单一业务里。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1.3 主要特性总览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26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能力</w:t>
            </w:r>
          </w:p>
        </w:tc>
        <w:tc>
          <w:tcPr>
            <w:tcW w:type="dxa" w:w="5102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实现要点</w:t>
            </w:r>
          </w:p>
        </w:tc>
        <w:tc>
          <w:tcPr>
            <w:tcW w:type="dxa" w:w="192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对应评分点</w:t>
            </w:r>
          </w:p>
        </w:tc>
      </w:tr>
      <w:tr>
        <w:tc>
          <w:tcPr>
            <w:tcW w:type="dxa" w:w="226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执行计划与真实执行严格对应</w:t>
            </w:r>
          </w:p>
        </w:tc>
        <w:tc>
          <w:tcPr>
            <w:tcW w:type="dxa" w:w="510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PlanTracker 按关键词把计划步骤与真实动作（检索 / 某次工具调用）绑定，匹配不到就不发进度事件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Agent/工作流设计（8%）</w:t>
            </w:r>
          </w:p>
        </w:tc>
      </w:tr>
      <w:tr>
        <w:tc>
          <w:tcPr>
            <w:tcW w:type="dxa" w:w="226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RAG 多知识域混合检索</w:t>
            </w:r>
          </w:p>
        </w:tc>
        <w:tc>
          <w:tcPr>
            <w:tcW w:type="dxa" w:w="510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BM25（域内独立统计）+ 可插拔向量检索（0.45/0.55 融合），词项覆盖率解释相关度，双知识域 46 篇</w:t>
            </w:r>
          </w:p>
        </w:tc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RAG 技术应用（6%）</w:t>
            </w:r>
          </w:p>
        </w:tc>
      </w:tr>
      <w:tr>
        <w:tc>
          <w:tcPr>
            <w:tcW w:type="dxa" w:w="226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工具与 MCP 集成</w:t>
            </w:r>
          </w:p>
        </w:tc>
        <w:tc>
          <w:tcPr>
            <w:tcW w:type="dxa" w:w="510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内置计算/时间/真实天气/图片理解 4 个工具；标准 MCP 客户端支持 tools/list 动态发现远端工具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MCP/工具集成（4%）</w:t>
            </w:r>
          </w:p>
        </w:tc>
      </w:tr>
      <w:tr>
        <w:tc>
          <w:tcPr>
            <w:tcW w:type="dxa" w:w="226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多模态融入主循环</w:t>
            </w:r>
          </w:p>
        </w:tc>
        <w:tc>
          <w:tcPr>
            <w:tcW w:type="dxa" w:w="510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图片由 Agent 自主调用 understand_image 工具，结果与检索结果共同参与生成</w:t>
            </w:r>
          </w:p>
        </w:tc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多模态能力（5%）</w:t>
            </w:r>
          </w:p>
        </w:tc>
      </w:tr>
      <w:tr>
        <w:tc>
          <w:tcPr>
            <w:tcW w:type="dxa" w:w="226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安全与可信</w:t>
            </w:r>
          </w:p>
        </w:tc>
        <w:tc>
          <w:tcPr>
            <w:tcW w:type="dxa" w:w="510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输入归一化拦截、输出密钥遮蔽与高风险标记、专业建议免责声明、限流与体积上限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安全与可控性（4%）</w:t>
            </w:r>
          </w:p>
        </w:tc>
      </w:tr>
      <w:tr>
        <w:tc>
          <w:tcPr>
            <w:tcW w:type="dxa" w:w="226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流式与状态可视化</w:t>
            </w:r>
          </w:p>
        </w:tc>
        <w:tc>
          <w:tcPr>
            <w:tcW w:type="dxa" w:w="510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九类 SSE 事件；token 按帧批处理渲染；六阶段状态文案与真实阶段一致</w:t>
            </w:r>
          </w:p>
        </w:tc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交互体验（3%）</w:t>
            </w:r>
          </w:p>
        </w:tc>
      </w:tr>
      <w:tr>
        <w:tc>
          <w:tcPr>
            <w:tcW w:type="dxa" w:w="226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对话操作与语音</w:t>
            </w:r>
          </w:p>
        </w:tc>
        <w:tc>
          <w:tcPr>
            <w:tcW w:type="dxa" w:w="510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复制 / 重新生成 / 点赞点踩反馈持久化；Web Speech API 语音输入与回答朗读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前端交互体验（3%）</w:t>
            </w:r>
          </w:p>
        </w:tc>
      </w:tr>
      <w:tr>
        <w:tc>
          <w:tcPr>
            <w:tcW w:type="dxa" w:w="226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工程与质量</w:t>
            </w:r>
          </w:p>
        </w:tc>
        <w:tc>
          <w:tcPr>
            <w:tcW w:type="dxa" w:w="510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TypeScript 严格模式、ESLint、66 项单元测试、CI 门禁、代码分割与 gzip</w:t>
            </w:r>
          </w:p>
        </w:tc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前端工程质量（10%）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1-1 主要特性与评分点对应关系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1.4 开发与运行环境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474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3742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选型</w:t>
            </w:r>
          </w:p>
        </w:tc>
        <w:tc>
          <w:tcPr>
            <w:tcW w:type="dxa" w:w="3855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前端</w:t>
            </w:r>
          </w:p>
        </w:tc>
        <w:tc>
          <w:tcPr>
            <w:tcW w:type="dxa" w:w="374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React 18 + TypeScript 5 + Vite 5 + Tailwind CSS 3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单页应用，构建产物分包（react / markdown 独立 chunk）</w:t>
            </w:r>
          </w:p>
        </w:tc>
      </w:tr>
      <w:tr>
        <w:tc>
          <w:tcPr>
            <w:tcW w:type="dxa" w:w="147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服务端</w:t>
            </w:r>
          </w:p>
        </w:tc>
        <w:tc>
          <w:tcPr>
            <w:tcW w:type="dxa" w:w="374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Node.js 20+ / tsx</w:t>
            </w:r>
          </w:p>
        </w:tc>
        <w:tc>
          <w:tcPr>
            <w:tcW w:type="dxa" w:w="385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同一套 TypeScript 代码，开发态挂 Vite 中间件，生产态独立进程</w:t>
            </w:r>
          </w:p>
        </w:tc>
      </w:tr>
      <w:tr>
        <w:tc>
          <w:tcPr>
            <w:tcW w:type="dxa" w:w="147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大模型</w:t>
            </w:r>
          </w:p>
        </w:tc>
        <w:tc>
          <w:tcPr>
            <w:tcW w:type="dxa" w:w="374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OpenAI 兼容协议（DeepSeek / 智谱 GLM）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流式 + Function Calling，可配置降级模型</w:t>
            </w:r>
          </w:p>
        </w:tc>
      </w:tr>
      <w:tr>
        <w:tc>
          <w:tcPr>
            <w:tcW w:type="dxa" w:w="147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检索</w:t>
            </w:r>
          </w:p>
        </w:tc>
        <w:tc>
          <w:tcPr>
            <w:tcW w:type="dxa" w:w="374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自研 BM25 + 可插拔 Embedding 适配器</w:t>
            </w:r>
          </w:p>
        </w:tc>
        <w:tc>
          <w:tcPr>
            <w:tcW w:type="dxa" w:w="385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无外部依赖即可运行；配置 Key 后自动升级混合检索</w:t>
            </w:r>
          </w:p>
        </w:tc>
      </w:tr>
      <w:tr>
        <w:tc>
          <w:tcPr>
            <w:tcW w:type="dxa" w:w="147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质量</w:t>
            </w:r>
          </w:p>
        </w:tc>
        <w:tc>
          <w:tcPr>
            <w:tcW w:type="dxa" w:w="374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Vitest 2 + ESLint 9 + tsc --noEmit + GitHub Actions</w:t>
            </w:r>
          </w:p>
        </w:tc>
        <w:tc>
          <w:tcPr>
            <w:tcW w:type="dxa" w:w="385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lint / typecheck / test / build 全量门禁</w:t>
            </w:r>
          </w:p>
        </w:tc>
      </w:tr>
      <w:tr>
        <w:tc>
          <w:tcPr>
            <w:tcW w:type="dxa" w:w="147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部署</w:t>
            </w:r>
          </w:p>
        </w:tc>
        <w:tc>
          <w:tcPr>
            <w:tcW w:type="dxa" w:w="374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Railway（在线演示）+ Docker / Render 备选</w:t>
            </w:r>
          </w:p>
        </w:tc>
        <w:tc>
          <w:tcPr>
            <w:tcW w:type="dxa" w:w="385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密钥通过平台环境变量注入</w:t>
            </w:r>
          </w:p>
        </w:tc>
      </w:tr>
    </w:tbl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2 需求分析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2.1 目标用户与使用场景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核心用户</w:t>
      </w:r>
      <w:r>
        <w:rPr>
          <w:rFonts w:ascii="Times New Roman" w:hAnsi="Times New Roman" w:eastAsia="宋体"/>
          <w:b w:val="0"/>
          <w:i w:val="0"/>
          <w:sz w:val="21"/>
        </w:rPr>
        <w:t>：参加学科竞赛、备考升学、需要频繁查询规章制度的高校学生。他们的共同特征是：问题答案有权威来源（官网公告、培养方案、政策文件），但信息分散、检索成本高，并且</w:t>
      </w:r>
      <w:r>
        <w:rPr>
          <w:rFonts w:ascii="Times New Roman" w:hAnsi="Times New Roman" w:eastAsia="宋体"/>
          <w:b/>
          <w:i w:val="0"/>
          <w:sz w:val="21"/>
        </w:rPr>
        <w:t>不能接受错误答案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典型场景：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备赛咨询：报名时间、组别规则、评审标准、提交材料、奖项设置——答案必须能追溯到官方原文。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学业事务：选课退课、绩点计算、保研推免、四六级与考研时间线——需要把哪一步什么时候做讲清楚。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日常工具：精确计算、当前日期推算、真实天气——这类问题大模型心算或凭记忆回答并不可靠，必须走工具。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图片提问：把赛事截图、成绩单、课程表拍照上传，直接问图里的评审权重是多少。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2.2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907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6690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需求描述</w:t>
            </w:r>
          </w:p>
        </w:tc>
      </w:tr>
      <w:tr>
        <w:tc>
          <w:tcPr>
            <w:tcW w:type="dxa" w:w="90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FR-1</w:t>
            </w:r>
          </w:p>
        </w:tc>
        <w:tc>
          <w:tcPr>
            <w:tcW w:type="dxa" w:w="147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执行计划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复杂问题自动拆解为 2~5 步计划，步骤状态与真实执行严格对应</w:t>
            </w:r>
          </w:p>
        </w:tc>
      </w:tr>
      <w:tr>
        <w:tc>
          <w:tcPr>
            <w:tcW w:type="dxa" w:w="90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FR-2</w:t>
            </w:r>
          </w:p>
        </w:tc>
        <w:tc>
          <w:tcPr>
            <w:tcW w:type="dxa" w:w="147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知识库检索</w:t>
            </w:r>
          </w:p>
        </w:tc>
        <w:tc>
          <w:tcPr>
            <w:tcW w:type="dxa" w:w="669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按知识域检索语料，回答标注引用编号并展示来源卡片；检索不到时如实说明</w:t>
            </w:r>
          </w:p>
        </w:tc>
      </w:tr>
      <w:tr>
        <w:tc>
          <w:tcPr>
            <w:tcW w:type="dxa" w:w="90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FR-3</w:t>
            </w:r>
          </w:p>
        </w:tc>
        <w:tc>
          <w:tcPr>
            <w:tcW w:type="dxa" w:w="147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工具调用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计算 / 时间 / 真实天气 / 图片理解，统一 JSON Schema 契约，支持 MCP 动态工具</w:t>
            </w:r>
          </w:p>
        </w:tc>
      </w:tr>
      <w:tr>
        <w:tc>
          <w:tcPr>
            <w:tcW w:type="dxa" w:w="90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FR-4</w:t>
            </w:r>
          </w:p>
        </w:tc>
        <w:tc>
          <w:tcPr>
            <w:tcW w:type="dxa" w:w="147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多模态</w:t>
            </w:r>
          </w:p>
        </w:tc>
        <w:tc>
          <w:tcPr>
            <w:tcW w:type="dxa" w:w="669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图片上传后由 Agent 自主调用图片理解工具，并与检索结果协同生成回答</w:t>
            </w:r>
          </w:p>
        </w:tc>
      </w:tr>
      <w:tr>
        <w:tc>
          <w:tcPr>
            <w:tcW w:type="dxa" w:w="90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FR-5</w:t>
            </w:r>
          </w:p>
        </w:tc>
        <w:tc>
          <w:tcPr>
            <w:tcW w:type="dxa" w:w="147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流式回答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SSE 事件流推送 token，前端按帧渲染 Markdown</w:t>
            </w:r>
          </w:p>
        </w:tc>
      </w:tr>
      <w:tr>
        <w:tc>
          <w:tcPr>
            <w:tcW w:type="dxa" w:w="90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FR-6</w:t>
            </w:r>
          </w:p>
        </w:tc>
        <w:tc>
          <w:tcPr>
            <w:tcW w:type="dxa" w:w="147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对话管理</w:t>
            </w:r>
          </w:p>
        </w:tc>
        <w:tc>
          <w:tcPr>
            <w:tcW w:type="dxa" w:w="669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多会话持久化、复制、重新生成、点赞点踩、停止生成（含服务端取消）</w:t>
            </w:r>
          </w:p>
        </w:tc>
      </w:tr>
      <w:tr>
        <w:tc>
          <w:tcPr>
            <w:tcW w:type="dxa" w:w="90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FR-7</w:t>
            </w:r>
          </w:p>
        </w:tc>
        <w:tc>
          <w:tcPr>
            <w:tcW w:type="dxa" w:w="147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多知识域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同一 Agent 可在赛事备赛 / 校园学习 / 全部 之间切换检索范围</w:t>
            </w:r>
          </w:p>
        </w:tc>
      </w:tr>
      <w:tr>
        <w:tc>
          <w:tcPr>
            <w:tcW w:type="dxa" w:w="90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FR-8</w:t>
            </w:r>
          </w:p>
        </w:tc>
        <w:tc>
          <w:tcPr>
            <w:tcW w:type="dxa" w:w="147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语音交互</w:t>
            </w:r>
          </w:p>
        </w:tc>
        <w:tc>
          <w:tcPr>
            <w:tcW w:type="dxa" w:w="669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浏览器端语音输入与回答朗读，不支持时优雅降级</w:t>
            </w:r>
          </w:p>
        </w:tc>
      </w:tr>
      <w:tr>
        <w:tc>
          <w:tcPr>
            <w:tcW w:type="dxa" w:w="90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FR-9</w:t>
            </w:r>
          </w:p>
        </w:tc>
        <w:tc>
          <w:tcPr>
            <w:tcW w:type="dxa" w:w="147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安全与治理</w:t>
            </w:r>
          </w:p>
        </w:tc>
        <w:tc>
          <w:tcPr>
            <w:tcW w:type="dxa" w:w="669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输入风险拦截、输出密钥遮蔽与高风险标记、免责声明、限流与体积上限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2-1 功能需求清单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2.3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247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4649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实现方式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可用性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大模型/网络异常时不得白屏或抛栈</w:t>
            </w:r>
          </w:p>
        </w:tc>
        <w:tc>
          <w:tcPr>
            <w:tcW w:type="dxa" w:w="464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三层兜底：请求超时重试 → 失败话术 → 全链路 try/catch</w:t>
            </w:r>
          </w:p>
        </w:tc>
      </w:tr>
      <w:tr>
        <w:tc>
          <w:tcPr>
            <w:tcW w:type="dxa" w:w="124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稳定性</w:t>
            </w:r>
          </w:p>
        </w:tc>
        <w:tc>
          <w:tcPr>
            <w:tcW w:type="dxa" w:w="317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单次请求 30s 超时，429/5xx 自动退避重试</w:t>
            </w:r>
          </w:p>
        </w:tc>
        <w:tc>
          <w:tcPr>
            <w:tcW w:type="dxa" w:w="464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AbortController + 指数退避 + 可选降级模型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可解释性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每一次检索与工具调用都可追溯</w:t>
            </w:r>
          </w:p>
        </w:tc>
        <w:tc>
          <w:tcPr>
            <w:tcW w:type="dxa" w:w="464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九类 SSE 事件 + 引用编号 + 词项覆盖率</w:t>
            </w:r>
          </w:p>
        </w:tc>
      </w:tr>
      <w:tr>
        <w:tc>
          <w:tcPr>
            <w:tcW w:type="dxa" w:w="124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安全性</w:t>
            </w:r>
          </w:p>
        </w:tc>
        <w:tc>
          <w:tcPr>
            <w:tcW w:type="dxa" w:w="317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不泄露密钥、不输出明显有害内容</w:t>
            </w:r>
          </w:p>
        </w:tc>
        <w:tc>
          <w:tcPr>
            <w:tcW w:type="dxa" w:w="464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输出侧密钥遮蔽 + 输入归一化拦截 + 免责声明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健壮性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畸形请求不得打爆服务</w:t>
            </w:r>
          </w:p>
        </w:tc>
        <w:tc>
          <w:tcPr>
            <w:tcW w:type="dxa" w:w="464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8MB 体积上限、IP 限流、history/message 严格校验</w:t>
            </w:r>
          </w:p>
        </w:tc>
      </w:tr>
      <w:tr>
        <w:tc>
          <w:tcPr>
            <w:tcW w:type="dxa" w:w="124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可维护性</w:t>
            </w:r>
          </w:p>
        </w:tc>
        <w:tc>
          <w:tcPr>
            <w:tcW w:type="dxa" w:w="317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改动可回归验证</w:t>
            </w:r>
          </w:p>
        </w:tc>
        <w:tc>
          <w:tcPr>
            <w:tcW w:type="dxa" w:w="464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66 项单元测试 + ESLint + CI 门禁</w:t>
            </w:r>
          </w:p>
        </w:tc>
      </w:tr>
    </w:tbl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3 系统架构设计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3.1 总体架构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6F8FA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┌────────────── 浏览器（React 18 + Vite + Tailwind）──────────────┐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App ─ useAgentChat（SSE 客户端 / 按帧节流 / 多会话 / 重生成 / 反馈）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      └ MessageView（计划时间线 · 工具卡片 · Markdown 流式 ·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                     来源引用 · 复制 / 重生成 / 朗读 / 反馈）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      └ useSpeech（Web Speech API 语音输入 / TTS 朗读）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└────────────────────────────┬────────────────────────────────────┘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 xml:space="preserve">                             │ POST /api/chat (SSE)   GET /api/health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┌────────────────────────────┴────────────────────────────────────┐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Agent 编排器 server/agent.ts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理解 → 规划(LLM) → 行动(图片理解 / 多域检索 / 工具循环≤3轮)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                  → 生成(LLM 流式 + 输出治理) → 收尾(免责声明)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├ llm.ts     OpenAI 兼容客户端（超时 30s · 退避重试 · 降级 · 取消）│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├ rag.ts     多知识域 BM25 + 可插拔向量融合检索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├ tools.ts   工具注册表（内置 4 个 + MCP 动态发现）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├ mcp.ts     MCP 客户端（initialize / tools/list / tools/call）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├ vision.ts  图片理解（可被 Agent 作为工具调用）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├ safety.ts  输入拦截 · 输出遮蔽 · 免责声明 · 兜底话术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├ api.ts     SSE 端点 · 限流 · 体积上限 · 参数校验 · 断连取消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├ main.ts    生产服务器（静态托管 + gzip + SPA 回退）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│  └ demo.ts    演示模式（检索与工具真实执行，回答由语料原文组织）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图 3-1 系统总体架构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3.2 事件协议设计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前后端之间不复用宽松的聊天消息，而是定义了一套</w:t>
      </w:r>
      <w:r>
        <w:rPr>
          <w:rFonts w:ascii="Times New Roman" w:hAnsi="Times New Roman" w:eastAsia="宋体"/>
          <w:b/>
          <w:i w:val="0"/>
          <w:sz w:val="21"/>
        </w:rPr>
        <w:t>九类事件的执行协议</w:t>
      </w:r>
      <w:r>
        <w:rPr>
          <w:rFonts w:ascii="Times New Roman" w:hAnsi="Times New Roman" w:eastAsia="宋体"/>
          <w:b w:val="0"/>
          <w:i w:val="0"/>
          <w:sz w:val="21"/>
        </w:rPr>
        <w:t>（shared/protocol.ts）。前端只负责把事件渲染成界面，服务端只负责产生事件，职责单一、可独立演进。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361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事件</w:t>
            </w:r>
          </w:p>
        </w:tc>
        <w:tc>
          <w:tcPr>
            <w:tcW w:type="dxa" w:w="4309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载荷</w:t>
            </w:r>
          </w:p>
        </w:tc>
        <w:tc>
          <w:tcPr>
            <w:tcW w:type="dxa" w:w="3402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前端表现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430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stage（understanding/planning/retrieving/tooling/answering/finished）</w:t>
            </w:r>
          </w:p>
        </w:tc>
        <w:tc>
          <w:tcPr>
            <w:tcW w:type="dxa" w:w="340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思考状态文案</w:t>
            </w:r>
          </w:p>
        </w:tc>
      </w:tr>
      <w:tr>
        <w:tc>
          <w:tcPr>
            <w:tcW w:type="dxa" w:w="136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plan</w:t>
            </w:r>
          </w:p>
        </w:tc>
        <w:tc>
          <w:tcPr>
            <w:tcW w:type="dxa" w:w="430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steps：字符串数组</w:t>
            </w:r>
          </w:p>
        </w:tc>
        <w:tc>
          <w:tcPr>
            <w:tcW w:type="dxa" w:w="340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执行计划时间线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step_update</w:t>
            </w:r>
          </w:p>
        </w:tc>
        <w:tc>
          <w:tcPr>
            <w:tcW w:type="dxa" w:w="430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index、status、note</w:t>
            </w:r>
          </w:p>
        </w:tc>
        <w:tc>
          <w:tcPr>
            <w:tcW w:type="dxa" w:w="340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步骤状态与备注</w:t>
            </w:r>
          </w:p>
        </w:tc>
      </w:tr>
      <w:tr>
        <w:tc>
          <w:tcPr>
            <w:tcW w:type="dxa" w:w="136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tool_call</w:t>
            </w:r>
          </w:p>
        </w:tc>
        <w:tc>
          <w:tcPr>
            <w:tcW w:type="dxa" w:w="430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callId、name、args</w:t>
            </w:r>
          </w:p>
        </w:tc>
        <w:tc>
          <w:tcPr>
            <w:tcW w:type="dxa" w:w="340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工具调用卡片（加载态）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tool_result</w:t>
            </w:r>
          </w:p>
        </w:tc>
        <w:tc>
          <w:tcPr>
            <w:tcW w:type="dxa" w:w="430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callId、ok、result{summary,data,display}</w:t>
            </w:r>
          </w:p>
        </w:tc>
        <w:tc>
          <w:tcPr>
            <w:tcW w:type="dxa" w:w="340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 display 渲染计算/天气/知识库/图片卡片</w:t>
            </w:r>
          </w:p>
        </w:tc>
      </w:tr>
      <w:tr>
        <w:tc>
          <w:tcPr>
            <w:tcW w:type="dxa" w:w="136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token</w:t>
            </w:r>
          </w:p>
        </w:tc>
        <w:tc>
          <w:tcPr>
            <w:tcW w:type="dxa" w:w="430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content</w:t>
            </w:r>
          </w:p>
        </w:tc>
        <w:tc>
          <w:tcPr>
            <w:tcW w:type="dxa" w:w="340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流式正文（按帧批处理）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sources</w:t>
            </w:r>
          </w:p>
        </w:tc>
        <w:tc>
          <w:tcPr>
            <w:tcW w:type="dxa" w:w="430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sources[]（可为空数组）</w:t>
            </w:r>
          </w:p>
        </w:tc>
        <w:tc>
          <w:tcPr>
            <w:tcW w:type="dxa" w:w="340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引用来源胶囊</w:t>
            </w:r>
          </w:p>
        </w:tc>
      </w:tr>
      <w:tr>
        <w:tc>
          <w:tcPr>
            <w:tcW w:type="dxa" w:w="136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430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message</w:t>
            </w:r>
          </w:p>
        </w:tc>
        <w:tc>
          <w:tcPr>
            <w:tcW w:type="dxa" w:w="340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红色错误条（安全拦截、超时、异常）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done</w:t>
            </w:r>
          </w:p>
        </w:tc>
        <w:tc>
          <w:tcPr>
            <w:tcW w:type="dxa" w:w="430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meta{mode,model}</w:t>
            </w:r>
          </w:p>
        </w:tc>
        <w:tc>
          <w:tcPr>
            <w:tcW w:type="dxa" w:w="340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结束流式、标注运行模式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3-1 九类 SSE 事件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3.3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247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层</w:t>
            </w:r>
          </w:p>
        </w:tc>
        <w:tc>
          <w:tcPr>
            <w:tcW w:type="dxa" w:w="3175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4649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表现层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src/App.tsx、components/*</w:t>
            </w:r>
          </w:p>
        </w:tc>
        <w:tc>
          <w:tcPr>
            <w:tcW w:type="dxa" w:w="464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布局、空状态、移动端抽屉、消息渲染</w:t>
            </w:r>
          </w:p>
        </w:tc>
      </w:tr>
      <w:tr>
        <w:tc>
          <w:tcPr>
            <w:tcW w:type="dxa" w:w="124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状态层</w:t>
            </w:r>
          </w:p>
        </w:tc>
        <w:tc>
          <w:tcPr>
            <w:tcW w:type="dxa" w:w="317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src/hooks/useAgentChat.ts</w:t>
            </w:r>
          </w:p>
        </w:tc>
        <w:tc>
          <w:tcPr>
            <w:tcW w:type="dxa" w:w="464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SSE 客户端、按帧节流、多会话持久化、重生成与反馈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多模态层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src/utils/image.ts、src/hooks/useSpeech.ts</w:t>
            </w:r>
          </w:p>
        </w:tc>
        <w:tc>
          <w:tcPr>
            <w:tcW w:type="dxa" w:w="464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图片压缩与 HEIC 转码、语音输入与朗读</w:t>
            </w:r>
          </w:p>
        </w:tc>
      </w:tr>
      <w:tr>
        <w:tc>
          <w:tcPr>
            <w:tcW w:type="dxa" w:w="124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编排层</w:t>
            </w:r>
          </w:p>
        </w:tc>
        <w:tc>
          <w:tcPr>
            <w:tcW w:type="dxa" w:w="317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server/agent.ts</w:t>
            </w:r>
          </w:p>
        </w:tc>
        <w:tc>
          <w:tcPr>
            <w:tcW w:type="dxa" w:w="464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理解→规划→行动→生成主循环、计划追踪、输出守卫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能力层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server/rag.ts、tools.ts、mcp.ts、vision.ts</w:t>
            </w:r>
          </w:p>
        </w:tc>
        <w:tc>
          <w:tcPr>
            <w:tcW w:type="dxa" w:w="464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多域检索、工具执行、MCP 动态工具、图片理解</w:t>
            </w:r>
          </w:p>
        </w:tc>
      </w:tr>
      <w:tr>
        <w:tc>
          <w:tcPr>
            <w:tcW w:type="dxa" w:w="124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接入层</w:t>
            </w:r>
          </w:p>
        </w:tc>
        <w:tc>
          <w:tcPr>
            <w:tcW w:type="dxa" w:w="317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server/llm.ts、api.ts、main.ts、demo.ts</w:t>
            </w:r>
          </w:p>
        </w:tc>
        <w:tc>
          <w:tcPr>
            <w:tcW w:type="dxa" w:w="464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模型客户端、SSE 端点与加固、生产服务器、演示模式</w:t>
            </w:r>
          </w:p>
        </w:tc>
      </w:tr>
      <w:tr>
        <w:tc>
          <w:tcPr>
            <w:tcW w:type="dxa" w:w="124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治理层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server/safety.ts</w:t>
            </w:r>
          </w:p>
        </w:tc>
        <w:tc>
          <w:tcPr>
            <w:tcW w:type="dxa" w:w="464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输入归一化拦截、输出遮蔽、免责声明、兜底话术</w:t>
            </w:r>
          </w:p>
        </w:tc>
      </w:tr>
    </w:tbl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3.4 关键设计决策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为什么用 SSE 而不是 WebSocket</w:t>
      </w:r>
      <w:r>
        <w:rPr>
          <w:rFonts w:ascii="Times New Roman" w:hAnsi="Times New Roman" w:eastAsia="宋体"/>
          <w:b w:val="0"/>
          <w:i w:val="0"/>
          <w:sz w:val="21"/>
        </w:rPr>
        <w:t>：本场景是单向的服务端推送执行过程，SSE 语义更贴合、实现更简单，且能复用 HTTP 中间件做限流与体积控制。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为什么计划步骤要与真实动作绑定</w:t>
      </w:r>
      <w:r>
        <w:rPr>
          <w:rFonts w:ascii="Times New Roman" w:hAnsi="Times New Roman" w:eastAsia="宋体"/>
          <w:b w:val="0"/>
          <w:i w:val="0"/>
          <w:sz w:val="21"/>
        </w:rPr>
        <w:t>：早期版本把计划第二步硬编码为检索中，当模型生成的计划第二步其实是调用计算工具时，界面就会出现张冠李戴的假进度。现在改为按关键词把工具映射到步骤（calculate→计算、get_weather→天气…），匹配不到就不发事件——</w:t>
      </w:r>
      <w:r>
        <w:rPr>
          <w:rFonts w:ascii="Times New Roman" w:hAnsi="Times New Roman" w:eastAsia="宋体"/>
          <w:b/>
          <w:i w:val="0"/>
          <w:sz w:val="21"/>
        </w:rPr>
        <w:t>宁可少一条进度，也不给一条假进度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为什么图片要作为工具而不是旁路</w:t>
      </w:r>
      <w:r>
        <w:rPr>
          <w:rFonts w:ascii="Times New Roman" w:hAnsi="Times New Roman" w:eastAsia="宋体"/>
          <w:b w:val="0"/>
          <w:i w:val="0"/>
          <w:sz w:val="21"/>
        </w:rPr>
        <w:t>：独立视觉通道只能做单轮看图问答，无法与检索、其它工具协同。改成工具后，图片信息进入主循环上下文，才能出现图中评审权重加官网原文引用这类融合回答。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为什么演示模式也要真实执行检索与工具</w:t>
      </w:r>
      <w:r>
        <w:rPr>
          <w:rFonts w:ascii="Times New Roman" w:hAnsi="Times New Roman" w:eastAsia="宋体"/>
          <w:b w:val="0"/>
          <w:i w:val="0"/>
          <w:sz w:val="21"/>
        </w:rPr>
        <w:t>：在没有 API Key 的环境中，我们希望展示的仍然是真实的检索与真实的工具调用，只有自然语言组织退化为模板，从而保证演示的可复现性与诚实性。</w:t>
      </w:r>
    </w:p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4 AI 技术方案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本章按大赛评分细则的六个考察点逐项说明</w:t>
      </w:r>
      <w:r>
        <w:rPr>
          <w:rFonts w:ascii="Times New Roman" w:hAnsi="Times New Roman" w:eastAsia="宋体"/>
          <w:b/>
          <w:i w:val="0"/>
          <w:sz w:val="21"/>
        </w:rPr>
        <w:t>选型理由、集成方式与优化策略</w:t>
      </w:r>
      <w:r>
        <w:rPr>
          <w:rFonts w:ascii="Times New Roman" w:hAnsi="Times New Roman" w:eastAsia="宋体"/>
          <w:b w:val="0"/>
          <w:i w:val="0"/>
          <w:sz w:val="21"/>
        </w:rPr>
        <w:t>，并在每个小节给出可验证的证据（测试用例或线上实测现象）。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4.1 大模型集成质量（8%）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选型理由</w:t>
      </w:r>
      <w:r>
        <w:rPr>
          <w:rFonts w:ascii="Times New Roman" w:hAnsi="Times New Roman" w:eastAsia="宋体"/>
          <w:b w:val="0"/>
          <w:i w:val="0"/>
          <w:sz w:val="21"/>
        </w:rPr>
        <w:t>：采用 OpenAI 兼容协议接入，内置 DeepSeek 与智谱 GLM 两套预设，不绑定单一厂商；既降低供应商风险，也便于用同一份代码对比不同模型的表现。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集成方式</w:t>
      </w:r>
      <w:r>
        <w:rPr>
          <w:rFonts w:ascii="Times New Roman" w:hAnsi="Times New Roman" w:eastAsia="宋体"/>
          <w:b w:val="0"/>
          <w:i w:val="0"/>
          <w:sz w:val="21"/>
        </w:rPr>
        <w:t>：非流式用于规划（temperature 0.3，追求稳定），流式用于回答（temperature 0.6，追求流畅），图片理解使用 0.4；全部支持 Function Calling。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优化策略</w:t>
      </w:r>
      <w:r>
        <w:rPr>
          <w:rFonts w:ascii="Times New Roman" w:hAnsi="Times New Roman" w:eastAsia="宋体"/>
          <w:b w:val="0"/>
          <w:i w:val="0"/>
          <w:sz w:val="21"/>
        </w:rPr>
        <w:t>（本轮重点补强）：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超时</w:t>
      </w:r>
      <w:r>
        <w:rPr>
          <w:rFonts w:ascii="Times New Roman" w:hAnsi="Times New Roman" w:eastAsia="宋体"/>
          <w:b w:val="0"/>
          <w:i w:val="0"/>
          <w:sz w:val="21"/>
        </w:rPr>
        <w:t>：单次请求 30 秒（AI_TIMEOUT_MS 可调），避免网络卡死拖垮整个会话。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重试</w:t>
      </w:r>
      <w:r>
        <w:rPr>
          <w:rFonts w:ascii="Times New Roman" w:hAnsi="Times New Roman" w:eastAsia="宋体"/>
          <w:b w:val="0"/>
          <w:i w:val="0"/>
          <w:sz w:val="21"/>
        </w:rPr>
        <w:t>：对 408/409/425/429/5xx 与网络抖动做指数退避重试（默认 3 次尝试），退避 400ms 起、封顶 4s 并带随机抖动，避免惊群。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降级</w:t>
      </w:r>
      <w:r>
        <w:rPr>
          <w:rFonts w:ascii="Times New Roman" w:hAnsi="Times New Roman" w:eastAsia="宋体"/>
          <w:b w:val="0"/>
          <w:i w:val="0"/>
          <w:sz w:val="21"/>
        </w:rPr>
        <w:t>：配置 AI_FALLBACK_MODEL 后，主模型整体失败会自动切换备用模型。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取消</w:t>
      </w:r>
      <w:r>
        <w:rPr>
          <w:rFonts w:ascii="Times New Roman" w:hAnsi="Times New Roman" w:eastAsia="宋体"/>
          <w:b w:val="0"/>
          <w:i w:val="0"/>
          <w:sz w:val="21"/>
        </w:rPr>
        <w:t>：全链路透传 AbortSignal，用户点停止或断开连接时立即取消上游请求，consumeSseStream 会主动 cancel 底层 reader，避免持续计费。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提示词约束</w:t>
      </w:r>
      <w:r>
        <w:rPr>
          <w:rFonts w:ascii="Times New Roman" w:hAnsi="Times New Roman" w:eastAsia="宋体"/>
          <w:b w:val="0"/>
          <w:i w:val="0"/>
          <w:sz w:val="21"/>
        </w:rPr>
        <w:t>：System Prompt 明确规定始终使用简体中文，修复了实测中出现的中英混杂输出。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2F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证据：线上实测 token 流式稳定、无中英混杂输出；异常路径均有兜底话术。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4.2 Agent 规划与行动循环（8%）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主循环为：</w:t>
      </w:r>
      <w:r>
        <w:rPr>
          <w:rFonts w:ascii="Times New Roman" w:hAnsi="Times New Roman" w:eastAsia="宋体"/>
          <w:b/>
          <w:i w:val="0"/>
          <w:sz w:val="21"/>
        </w:rPr>
        <w:t>理解 → 规划 → 行动（图片理解 / 检索 / 工具循环，最多 3 轮）→ 生成 → 收尾</w:t>
      </w:r>
      <w:r>
        <w:rPr>
          <w:rFonts w:ascii="Times New Roman" w:hAnsi="Times New Roman" w:eastAsia="宋体"/>
          <w:b w:val="0"/>
          <w:i w:val="0"/>
          <w:sz w:val="21"/>
        </w:rPr>
        <w:t>。规划阶段让模型输出 JSON 计划（强制 JSON + 默认计划兜底），行动阶段把工具结果回填进消息列表后继续生成，形成完整的规划-行动-观察闭环。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本轮的关键修复——计划可视化的真实性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361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362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修复前</w:t>
            </w:r>
          </w:p>
        </w:tc>
        <w:tc>
          <w:tcPr>
            <w:tcW w:type="dxa" w:w="4082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修复后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步骤索引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硬编码 index 0/1，与模型生成的计划无关</w:t>
            </w:r>
          </w:p>
        </w:tc>
        <w:tc>
          <w:tcPr>
            <w:tcW w:type="dxa" w:w="408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PlanTracker 按关键词定位步骤，并保证同一时刻只有一个步骤处于进行中</w:t>
            </w:r>
          </w:p>
        </w:tc>
      </w:tr>
      <w:tr>
        <w:tc>
          <w:tcPr>
            <w:tcW w:type="dxa" w:w="136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工具与步骤关系</w:t>
            </w:r>
          </w:p>
        </w:tc>
        <w:tc>
          <w:tcPr>
            <w:tcW w:type="dxa" w:w="36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任何工具调用都标在同一个步骤上</w:t>
            </w:r>
          </w:p>
        </w:tc>
        <w:tc>
          <w:tcPr>
            <w:tcW w:type="dxa" w:w="408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TOOL_STEP_KEYWORDS 把 calculate / get_weather / get_current_time / understand_image 分别映射到对应步骤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匹配不到时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仍会发出与实际不符的进度</w:t>
            </w:r>
          </w:p>
        </w:tc>
        <w:tc>
          <w:tcPr>
            <w:tcW w:type="dxa" w:w="408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不发进度事件（宁可少一条，也不给假进度）</w:t>
            </w:r>
          </w:p>
        </w:tc>
      </w:tr>
      <w:tr>
        <w:tc>
          <w:tcPr>
            <w:tcW w:type="dxa" w:w="136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阶段状态</w:t>
            </w:r>
          </w:p>
        </w:tc>
        <w:tc>
          <w:tcPr>
            <w:tcW w:type="dxa" w:w="36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工具执行期间仍显示正在生成回答</w:t>
            </w:r>
          </w:p>
        </w:tc>
        <w:tc>
          <w:tcPr>
            <w:tcW w:type="dxa" w:w="408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工具调用前后补发 status: tooling</w:t>
            </w:r>
          </w:p>
        </w:tc>
      </w:tr>
      <w:tr>
        <w:tc>
          <w:tcPr>
            <w:tcW w:type="dxa" w:w="136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收尾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时间线可能停留在进行中</w:t>
            </w:r>
          </w:p>
        </w:tc>
        <w:tc>
          <w:tcPr>
            <w:tcW w:type="dxa" w:w="408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completeAll() 把未完成步骤按顺序补完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4-1 计划与执行一致性修复对照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2F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线上实测：提问「帮我算一下 (128*46+372)/4 等于多少，顺便告诉我今天几号」，计划为两步，事件序列为 index0 running→done（calculate）→ index1 running→done（get_current_time），与实际工具调用完全一致。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4.3 RAG 多知识域混合检索（6%）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架构</w:t>
      </w:r>
      <w:r>
        <w:rPr>
          <w:rFonts w:ascii="Times New Roman" w:hAnsi="Times New Roman" w:eastAsia="宋体"/>
          <w:b w:val="0"/>
          <w:i w:val="0"/>
          <w:sz w:val="21"/>
        </w:rPr>
        <w:t>：BM25 常驻 + 可插拔向量检索，两者分数各自归一化后按 0.45（BM25）/0.55（向量）加权融合。BM25 参数 k1=1.5、b=0.75；标题在索引中重复 4 次、分类重复 2 次，使标题命中的权重显著高于正文偶然命中。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多知识域</w:t>
      </w:r>
      <w:r>
        <w:rPr>
          <w:rFonts w:ascii="Times New Roman" w:hAnsi="Times New Roman" w:eastAsia="宋体"/>
          <w:b w:val="0"/>
          <w:i w:val="0"/>
          <w:sz w:val="21"/>
        </w:rPr>
        <w:t>：每个知识域一个语料文件，</w:t>
      </w:r>
      <w:r>
        <w:rPr>
          <w:rFonts w:ascii="Times New Roman" w:hAnsi="Times New Roman" w:eastAsia="宋体"/>
          <w:b/>
          <w:i w:val="0"/>
          <w:sz w:val="21"/>
        </w:rPr>
        <w:t>域内独立构建 IDF 与平均文档长度等统计量</w:t>
      </w:r>
      <w:r>
        <w:rPr>
          <w:rFonts w:ascii="Times New Roman" w:hAnsi="Times New Roman" w:eastAsia="宋体"/>
          <w:b w:val="0"/>
          <w:i w:val="0"/>
          <w:sz w:val="21"/>
        </w:rPr>
        <w:t>，避免跨域稀释；检索既可限定单域，也可跨域。新增场景只需登记一个域并放入一个 JSON 文件。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可解释的相关度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：早期版本把融合分统一归一化后，最高分恒为 1.00，界面上的最高相关度 1.00 没有任何信息量。现在改为展示 </w:t>
      </w:r>
      <w:r>
        <w:rPr>
          <w:rFonts w:ascii="Times New Roman" w:hAnsi="Times New Roman" w:eastAsia="宋体"/>
          <w:b/>
          <w:i w:val="0"/>
          <w:sz w:val="21"/>
        </w:rPr>
        <w:t>词项覆盖率</w:t>
      </w:r>
      <w:r>
        <w:rPr>
          <w:rFonts w:ascii="Times New Roman" w:hAnsi="Times New Roman" w:eastAsia="宋体"/>
          <w:b w:val="0"/>
          <w:i w:val="0"/>
          <w:sz w:val="21"/>
        </w:rPr>
        <w:t>（查询词项在命中文档中的覆盖率）并标注所属知识域，例如「[校园学习] 召回 3 条，最高词项覆盖率 62%」。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降级策略</w:t>
      </w:r>
      <w:r>
        <w:rPr>
          <w:rFonts w:ascii="Times New Roman" w:hAnsi="Times New Roman" w:eastAsia="宋体"/>
          <w:b w:val="0"/>
          <w:i w:val="0"/>
          <w:sz w:val="21"/>
        </w:rPr>
        <w:t>：向量索引构建失败或查询向量失败时静默回退 BM25，检索层永不抛错；未配置 EMBEDDING_API_KEY 时使用纯 BM25，功能完整可用。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381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知识域</w:t>
            </w:r>
          </w:p>
        </w:tc>
        <w:tc>
          <w:tcPr>
            <w:tcW w:type="dxa" w:w="1020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篇数</w:t>
            </w:r>
          </w:p>
        </w:tc>
        <w:tc>
          <w:tcPr>
            <w:tcW w:type="dxa" w:w="5669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内容范围</w:t>
            </w:r>
          </w:p>
        </w:tc>
      </w:tr>
      <w:tr>
        <w:tc>
          <w:tcPr>
            <w:tcW w:type="dxa" w:w="238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赛事备赛 competition</w:t>
            </w:r>
          </w:p>
        </w:tc>
        <w:tc>
          <w:tcPr>
            <w:tcW w:type="dxa" w:w="102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31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大赛规程、评审细则、提交要求、奖项设置，以及 16 条赛道的介绍</w:t>
            </w:r>
          </w:p>
        </w:tc>
      </w:tr>
      <w:tr>
        <w:tc>
          <w:tcPr>
            <w:tcW w:type="dxa" w:w="238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校园学习 campus</w:t>
            </w:r>
          </w:p>
        </w:tc>
        <w:tc>
          <w:tcPr>
            <w:tcW w:type="dxa" w:w="102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</w:t>
            </w:r>
          </w:p>
        </w:tc>
        <w:tc>
          <w:tcPr>
            <w:tcW w:type="dxa" w:w="566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选课学分、绩点保研、四六级与考研时间线、实习就业、学术规范、心理与事务办理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4-2 双知识域语料构成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4.4 多模态图片理解（5%）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融合方式</w:t>
      </w:r>
      <w:r>
        <w:rPr>
          <w:rFonts w:ascii="Times New Roman" w:hAnsi="Times New Roman" w:eastAsia="宋体"/>
          <w:b w:val="0"/>
          <w:i w:val="0"/>
          <w:sz w:val="21"/>
        </w:rPr>
        <w:t>：图片理解被封装为 understand_image 工具（而不是独立旁路）。用户上传图片后，Agent 先调用该工具获得结构化描述，把描述注入系统上下文，再与知识库检索结果一起生成最终回答，因此可以出现图中权重加官网原文引用的融合结论。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工程细节</w:t>
      </w:r>
      <w:r>
        <w:rPr>
          <w:rFonts w:ascii="Times New Roman" w:hAnsi="Times New Roman" w:eastAsia="宋体"/>
          <w:b w:val="0"/>
          <w:i w:val="0"/>
          <w:sz w:val="21"/>
        </w:rPr>
        <w:t>：前端对图片做本地归一化——长边压到 1600px、JPEG 质量 0.85、HEIC（iPhone 相册格式）统一转码为 JPEG；服务端二次校验（仅接受 data:image/ 前缀、单图体积上限、一次最多 2 张）。未配置视觉模型时返回可执行的配置引导；配置了但调用失败时明确区分未配置与调用失败，并给出排查建议。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2F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线上实测：上传测试图片后，事件序列为 understanding→planning→tooling→retrieving→answering，模型自主调用 understand_image 准确转写出图中的标题、截止时间、组别与编号，并在回答中与知识库引用 [1] 合并。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4.5 AI 安全与可控性（4%）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采用输入拦截、输出治理、兜底降级三道防线，并明确其能力边界（规则级，非模型级）：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020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防线</w:t>
            </w:r>
          </w:p>
        </w:tc>
        <w:tc>
          <w:tcPr>
            <w:tcW w:type="dxa" w:w="192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机制</w:t>
            </w:r>
          </w:p>
        </w:tc>
        <w:tc>
          <w:tcPr>
            <w:tcW w:type="dxa" w:w="6123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实现要点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输入侧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归一化风险拦截</w:t>
            </w:r>
          </w:p>
        </w:tc>
        <w:tc>
          <w:tcPr>
            <w:tcW w:type="dxa" w:w="6123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先做全角转半角、去空白与装饰符号、统一小写，再匹配 8 类风险规则；赌 博、赌*博 等简单绕过写法同样命中；命中后发 error 事件（前端红色错误条）</w:t>
            </w:r>
          </w:p>
        </w:tc>
      </w:tr>
      <w:tr>
        <w:tc>
          <w:tcPr>
            <w:tcW w:type="dxa" w:w="102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输出侧</w:t>
            </w:r>
          </w:p>
        </w:tc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密钥遮蔽 + 高风险标记</w:t>
            </w:r>
          </w:p>
        </w:tc>
        <w:tc>
          <w:tcPr>
            <w:tcW w:type="dxa" w:w="6123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流式输出按 64 字符尾缓冲扫描，遮蔽疑似 API Key 与令牌（跨 chunk 也能命中）；若模型输出复现高危内容，追加安全提示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合规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专业建议免责声明</w:t>
            </w:r>
          </w:p>
        </w:tc>
        <w:tc>
          <w:tcPr>
            <w:tcW w:type="dxa" w:w="6123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涉及医疗/法律/投资等关键词时自动追加免责声明（真实模式与演示模式一致生效）</w:t>
            </w:r>
          </w:p>
        </w:tc>
      </w:tr>
      <w:tr>
        <w:tc>
          <w:tcPr>
            <w:tcW w:type="dxa" w:w="102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抗滥用</w:t>
            </w:r>
          </w:p>
        </w:tc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限流与体积上限</w:t>
            </w:r>
          </w:p>
        </w:tc>
        <w:tc>
          <w:tcPr>
            <w:tcW w:type="dxa" w:w="6123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 IP 60 秒 30 次滑动窗口限流（429 + Retry-After）；请求体上限 8MB；消息 4000 字上限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降级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兜底话术</w:t>
            </w:r>
          </w:p>
        </w:tc>
        <w:tc>
          <w:tcPr>
            <w:tcW w:type="dxa" w:w="6123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任何异常都转为友好提示，绝不把堆栈抛给用户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4-3 AI 安全三道防线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2F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诚实披露：当前为规则级实现，应对校园与备赛等低对抗场景足够；面向公网开放的生产系统建议叠加专业内容审核 API 或分类模型，已列入路线图。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4.6 MCP 与工具集成（4%）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内置工具</w:t>
      </w:r>
      <w:r>
        <w:rPr>
          <w:rFonts w:ascii="Times New Roman" w:hAnsi="Times New Roman" w:eastAsia="宋体"/>
          <w:b w:val="0"/>
          <w:i w:val="0"/>
          <w:sz w:val="21"/>
        </w:rPr>
        <w:t>（统一 JSON Schema 契约，与 Function Calling 直接对接）：calculate（递归下降解析器，不使用 eval，支持 + - * / % 与括号）、get_current_time、get_weather（真实数据源 Open-Meteo，免 Key，支持全球城市）、understand_image。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标准 MCP 客户端</w:t>
      </w:r>
      <w:r>
        <w:rPr>
          <w:rFonts w:ascii="Times New Roman" w:hAnsi="Times New Roman" w:eastAsia="宋体"/>
          <w:b w:val="0"/>
          <w:i w:val="0"/>
          <w:sz w:val="21"/>
        </w:rPr>
        <w:t>（本轮新增）：实现了 MCP 的 Streamable HTTP 传输与 JSON-RPC 2.0 方法子集——initialize → notifications/initialized → tools/list → tools/call。通过 MCP_SERVERS 环境变量声明一个或多个 Server 后，远端工具会被</w:t>
      </w:r>
      <w:r>
        <w:rPr>
          <w:rFonts w:ascii="Times New Roman" w:hAnsi="Times New Roman" w:eastAsia="宋体"/>
          <w:b/>
          <w:i w:val="0"/>
          <w:sz w:val="21"/>
        </w:rPr>
        <w:t>动态发现</w:t>
      </w:r>
      <w:r>
        <w:rPr>
          <w:rFonts w:ascii="Times New Roman" w:hAnsi="Times New Roman" w:eastAsia="宋体"/>
          <w:b w:val="0"/>
          <w:i w:val="0"/>
          <w:sz w:val="21"/>
        </w:rPr>
        <w:t>、转换为 Function Calling Schema 并注册进同一张工具表，与内置工具无差别参与 Agent 决策；调用结果中的 content 数组会被拼接为文本回填模型。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6F8FA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# 环境变量声明即可接入，无需改代码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MCP_SERVERS=[{"name":"filesystem","url":"https://your-mcp-host/mcp",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 xml:space="preserve">              "headers":{"Authorization":"Bearer xxx"}}]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# 或单个 Server 简写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MCP_SERVER_URL=https://your-mcp-host/mcp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可靠性设计</w:t>
      </w:r>
      <w:r>
        <w:rPr>
          <w:rFonts w:ascii="Times New Roman" w:hAnsi="Times New Roman" w:eastAsia="宋体"/>
          <w:b w:val="0"/>
          <w:i w:val="0"/>
          <w:sz w:val="21"/>
        </w:rPr>
        <w:t>：工具清单带 5 分钟 TTL 缓存，避免每次问答都做一次握手；未配置、网络不可达或协议不兼容时静默降级为内置工具，不阻塞主流程；调用失败会作为工具失败结果回填模型，由模型向用户如实说明。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2F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证据：tests/mcp.test.ts 用一个真实的本地 HTTP MCP Server 跑通握手 → tools/list → tools/call → 统一 executeTool 调用 全链路，并覆盖未配置、非法配置、服务不可达三类降级路径。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5 核心功能实现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5.1 执行计划可视化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这是本作品最核心的交互创新，也是本轮重点修复的正确性问题。计划时间线的每一步状态都由服务端的真实动作驱动：检索开始时点亮检索步骤，某个工具被调用时点亮对应步骤，调用结束立即置为完成，收尾阶段把剩余步骤补齐。前端只做渲染，不猜测状态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实现要点：PlanTracker 持有步骤数组与状态数组，通过关键词定位步骤；保证同一时刻至多一个步骤处于进行中；重复更新同一状态会被忽略（幂等）；收尾调用 completeAll() 兜底，避免时间线永远停留在进行中。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5.2 流式输出与思考状态可视化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服务端以 SSE 逐段推送 token，前端 useAgentChat 把 token 累积到缓冲区，通过 requestAnimationFrame 按帧刷新一次状态，把早期每个 token 一次 setState 的开销降低到每帧一次；长文本流式渲染时输入框与滚动不再卡顿。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状态条用六阶段文案（理解问题 / 制定计划 / 检索知识库 / 调用工具 / 生成回答 / 已完成）呈现 Agent 的思考过程；工具执行阶段会明确显示正在调用工具，而不是笼统的正在生成。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5.3 工具卡片与来源引用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工具结果通过 display 字段驱动生成式 UI：计算结果渲染为等宽的表达式等于结果卡片，天气渲染为城市、天气、温度、提示的结构卡片并标注数据来源（实时 / 离线样例），知识库检索渲染为召回摘要卡并给出词项覆盖率，图片理解渲染为描述摘要卡。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知识库检索结果以编号引用显示在句末，底部来源胶囊悬停可查看原文摘要；即使检索不到高相关内容，也会发送空的 sources 事件，让用户明确知道系统已经检索过。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5.4 多知识域与场景迁移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系统内置两个知识域：赛事备赛（31 篇）与校园学习（15 篇）。用户可在侧栏一键切换，服务端对 domain 参数做白名单校验后限定检索范围，并在系统提示中告知模型当前挂载的知识域。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这一设计的价值不只是功能本身，而是</w:t>
      </w:r>
      <w:r>
        <w:rPr>
          <w:rFonts w:ascii="Times New Roman" w:hAnsi="Times New Roman" w:eastAsia="宋体"/>
          <w:b/>
          <w:i w:val="0"/>
          <w:sz w:val="21"/>
        </w:rPr>
        <w:t>证明架构的可迁移性</w:t>
      </w:r>
      <w:r>
        <w:rPr>
          <w:rFonts w:ascii="Times New Roman" w:hAnsi="Times New Roman" w:eastAsia="宋体"/>
          <w:b w:val="0"/>
          <w:i w:val="0"/>
          <w:sz w:val="21"/>
        </w:rPr>
        <w:t>：新增一个场景（例如企业知识库、政务办事指引）只需放入一份 JSON 语料并登记一个域，规划、检索、工具、引用、安全治理全部复用。这是本作品从备赛工具走向通用可信问答引擎的关键一步。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5.5 语音交互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基于浏览器原生 Web Speech API 实现，无第三方依赖：输入侧提供语音转文字按钮，识别结果追加到输入框，识别中的临时文本实时回显；回答侧提供朗读按钮，朗读前会剥离 Markdown 记号与代码块，避免读出无意义符号。浏览器不支持或未授权麦克风时，按钮隐藏或给出明确提示，不影响文字交互。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5.6 会话持久化与对话操作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会话与消息保存在 localStorage，刷新或重开页面后自动恢复；支持新建、切换、删除会话，并会在新建时清理历史遗留的空会话。每条回答下方提供复制、重新生成、有帮助、需改进四个操作，反馈随会话一起持久化，可用于后续收集真实使用评价。用户点停止时前端中断连接，服务端同步取消上游请求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5.7 演示模式设计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未配置 API Key 时自动进入演示模式：完整走一遍规划 → 检索 → 工具 → 流式回答的流水线，其中检索与工具是</w:t>
      </w:r>
      <w:r>
        <w:rPr>
          <w:rFonts w:ascii="Times New Roman" w:hAnsi="Times New Roman" w:eastAsia="宋体"/>
          <w:b/>
          <w:i w:val="0"/>
          <w:sz w:val="21"/>
        </w:rPr>
        <w:t>真实执行</w:t>
      </w:r>
      <w:r>
        <w:rPr>
          <w:rFonts w:ascii="Times New Roman" w:hAnsi="Times New Roman" w:eastAsia="宋体"/>
          <w:b w:val="0"/>
          <w:i w:val="0"/>
          <w:sz w:val="21"/>
        </w:rPr>
        <w:t>，回答由知识库原文要点组织并保留引用编号，不做无依据编造。这样即使评审在无外网、无密钥的环境下复现，看到的也是真实的能力而非静态截屏。</w:t>
      </w:r>
    </w:p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6 创新点说明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6.1 技术创新点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794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260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创新点</w:t>
            </w:r>
          </w:p>
        </w:tc>
        <w:tc>
          <w:tcPr>
            <w:tcW w:type="dxa" w:w="5669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79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T1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计划与执行严格映射的透明化 Agent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不是把计划当装饰动画，而是把每一个工具调用、每一次检索映射回计划步骤；匹配不到就不发进度，用'宁可少一条，不给假进度'保证可视化的可信度</w:t>
            </w:r>
          </w:p>
        </w:tc>
      </w:tr>
      <w:tr>
        <w:tc>
          <w:tcPr>
            <w:tcW w:type="dxa" w:w="79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T2</w:t>
            </w:r>
          </w:p>
        </w:tc>
        <w:tc>
          <w:tcPr>
            <w:tcW w:type="dxa" w:w="260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多知识域 + 域内独立统计的混合检索</w:t>
            </w:r>
          </w:p>
        </w:tc>
        <w:tc>
          <w:tcPr>
            <w:tcW w:type="dxa" w:w="566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每域独立构建 BM25 统计量避免跨域稀释 IDF；配置 Embedding 后自动升级为 0.45/0.55 融合检索；相关度以词项覆盖率解释而非无信息量的归一化分数</w:t>
            </w:r>
          </w:p>
        </w:tc>
      </w:tr>
      <w:tr>
        <w:tc>
          <w:tcPr>
            <w:tcW w:type="dxa" w:w="79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T3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多模态作为工具进入主循环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图片理解被封装为 understand_image 工具参与规划与工具循环，可与检索结果协同生成，而非独立的单轮看图问答</w:t>
            </w:r>
          </w:p>
        </w:tc>
      </w:tr>
      <w:tr>
        <w:tc>
          <w:tcPr>
            <w:tcW w:type="dxa" w:w="79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T4</w:t>
            </w:r>
          </w:p>
        </w:tc>
        <w:tc>
          <w:tcPr>
            <w:tcW w:type="dxa" w:w="260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标准 MCP 客户端与动态工具发现</w:t>
            </w:r>
          </w:p>
        </w:tc>
        <w:tc>
          <w:tcPr>
            <w:tcW w:type="dxa" w:w="566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实现 MCP Streamable HTTP 传输与 initialize / tools/list / tools/call 方法子集，远端工具动态注册进同一张工具表，与内置工具无差别参与决策</w:t>
            </w:r>
          </w:p>
        </w:tc>
      </w:tr>
      <w:tr>
        <w:tc>
          <w:tcPr>
            <w:tcW w:type="dxa" w:w="79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T5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演示与真实双模式同构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无密钥时检索与工具仍真实执行，只有自然语言组织退化为模板，保证可复现性与诚实性</w:t>
            </w:r>
          </w:p>
        </w:tc>
      </w:tr>
      <w:tr>
        <w:tc>
          <w:tcPr>
            <w:tcW w:type="dxa" w:w="79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T6</w:t>
            </w:r>
          </w:p>
        </w:tc>
        <w:tc>
          <w:tcPr>
            <w:tcW w:type="dxa" w:w="260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流式输出治理</w:t>
            </w:r>
          </w:p>
        </w:tc>
        <w:tc>
          <w:tcPr>
            <w:tcW w:type="dxa" w:w="566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输出按 64 字符尾缓冲扫描遮蔽疑似密钥（跨 chunk 生效），并在结尾统一追加免责声明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6-1 技术创新点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6.2 应用创新点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全过程透明的人机协作范式</w:t>
      </w:r>
      <w:r>
        <w:rPr>
          <w:rFonts w:ascii="Times New Roman" w:hAnsi="Times New Roman" w:eastAsia="宋体"/>
          <w:b w:val="0"/>
          <w:i w:val="0"/>
          <w:sz w:val="21"/>
        </w:rPr>
        <w:t>：把 AI 的黑盒回答变成可回放、可核查的执行记录，让用户从相信模型转变为验证依据。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一张知识库支撑多场景</w:t>
      </w:r>
      <w:r>
        <w:rPr>
          <w:rFonts w:ascii="Times New Roman" w:hAnsi="Times New Roman" w:eastAsia="宋体"/>
          <w:b w:val="0"/>
          <w:i w:val="0"/>
          <w:sz w:val="21"/>
        </w:rPr>
        <w:t>：赛事备赛与校园学习共用同一套 Agent，说明该范式可迁移至校园服务、企业知识管理与政务办事指引等高价值场景。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低门槛可复现</w:t>
      </w:r>
      <w:r>
        <w:rPr>
          <w:rFonts w:ascii="Times New Roman" w:hAnsi="Times New Roman" w:eastAsia="宋体"/>
          <w:b w:val="0"/>
          <w:i w:val="0"/>
          <w:sz w:val="21"/>
        </w:rPr>
        <w:t>：天气使用免 Key 的真实数据源，检索在无 Embedding 时仍完整可用，评审无需额外配置即可验证核心能力。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无障碍增强</w:t>
      </w:r>
      <w:r>
        <w:rPr>
          <w:rFonts w:ascii="Times New Roman" w:hAnsi="Times New Roman" w:eastAsia="宋体"/>
          <w:b w:val="0"/>
          <w:i w:val="0"/>
          <w:sz w:val="21"/>
        </w:rPr>
        <w:t>：语音输入与朗读让不便键盘输入的用户也能使用。</w:t>
      </w:r>
    </w:p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7 社会价值与商业潜力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7.1 社会价值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缩小信息差，促进教育公平。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备赛与升学信息长期集中在少数信息灵通的学生手里：官网公告、赛道详情、培养方案、政策文件分散在不同入口，检索成本高，而通用大模型又不可信（会编造截止时间）。本作品把这些权威信息整理为可检索语料，用引用编号把答案锁定到原文，让任何一所学校、任何一个学生都能得到与信息灵通者同等质量的信息服务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以透明化对抗幻觉，推动可信 AI 落地。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可信 AI 的核心不是让答案更像人，而是让答案能被验证。本作品把执行计划、检索证据、工具结果与引用来源同时呈现，为用户提供了判断答案可信度的依据，也为 AI 在教育、医疗、政务等高风险场景落地提供了一个低成本的工程范式：</w:t>
      </w:r>
      <w:r>
        <w:rPr>
          <w:rFonts w:ascii="Times New Roman" w:hAnsi="Times New Roman" w:eastAsia="宋体"/>
          <w:b/>
          <w:i w:val="0"/>
          <w:sz w:val="21"/>
        </w:rPr>
        <w:t>先透明，再智能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无障碍与包容性。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语音输入与朗读降低了使用门槛，对视障用户、行动不便用户以及不擅长键盘输入的用户更友好。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7.2 目标用户与使用场景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81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用户群体</w:t>
            </w:r>
          </w:p>
        </w:tc>
        <w:tc>
          <w:tcPr>
            <w:tcW w:type="dxa" w:w="2381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核心诉求</w:t>
            </w:r>
          </w:p>
        </w:tc>
        <w:tc>
          <w:tcPr>
            <w:tcW w:type="dxa" w:w="1701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付费意愿</w:t>
            </w:r>
          </w:p>
        </w:tc>
        <w:tc>
          <w:tcPr>
            <w:tcW w:type="dxa" w:w="260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切入方式</w:t>
            </w:r>
          </w:p>
        </w:tc>
      </w:tr>
      <w:tr>
        <w:tc>
          <w:tcPr>
            <w:tcW w:type="dxa" w:w="238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高校在校生（C 端，规模大）</w:t>
            </w:r>
          </w:p>
        </w:tc>
        <w:tc>
          <w:tcPr>
            <w:tcW w:type="dxa" w:w="238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备赛咨询、学业规划、日常工具</w:t>
            </w:r>
          </w:p>
        </w:tc>
        <w:tc>
          <w:tcPr>
            <w:tcW w:type="dxa" w:w="170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低（但可转化为口碑与数据）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免费版：单知识域 + 全部工具</w:t>
            </w:r>
          </w:p>
        </w:tc>
      </w:tr>
      <w:tr>
        <w:tc>
          <w:tcPr>
            <w:tcW w:type="dxa" w:w="238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高校教务 / 就业指导中心（B 端）</w:t>
            </w:r>
          </w:p>
        </w:tc>
        <w:tc>
          <w:tcPr>
            <w:tcW w:type="dxa" w:w="238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政策与流程问答自动化，答案必须可溯源</w:t>
            </w:r>
          </w:p>
        </w:tc>
        <w:tc>
          <w:tcPr>
            <w:tcW w:type="dxa" w:w="170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中高（预算稳定、可年度续费）</w:t>
            </w:r>
          </w:p>
        </w:tc>
        <w:tc>
          <w:tcPr>
            <w:tcW w:type="dxa" w:w="260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订阅制：知识库接入 + 多席位</w:t>
            </w:r>
          </w:p>
        </w:tc>
      </w:tr>
      <w:tr>
        <w:tc>
          <w:tcPr>
            <w:tcW w:type="dxa" w:w="238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教育机构 / 企业培训部门（B 端）</w:t>
            </w:r>
          </w:p>
        </w:tc>
        <w:tc>
          <w:tcPr>
            <w:tcW w:type="dxa" w:w="238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私有知识库问答，数据不出内网</w:t>
            </w:r>
          </w:p>
        </w:tc>
        <w:tc>
          <w:tcPr>
            <w:tcW w:type="dxa" w:w="170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高（客单价高）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私有化部署授权 + 年度运维</w:t>
            </w:r>
          </w:p>
        </w:tc>
      </w:tr>
      <w:tr>
        <w:tc>
          <w:tcPr>
            <w:tcW w:type="dxa" w:w="238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企业知识管理团队（B 端）</w:t>
            </w:r>
          </w:p>
        </w:tc>
        <w:tc>
          <w:tcPr>
            <w:tcW w:type="dxa" w:w="238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内部制度、技术文档问答</w:t>
            </w:r>
          </w:p>
        </w:tc>
        <w:tc>
          <w:tcPr>
            <w:tcW w:type="dxa" w:w="170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60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按席位订阅 + 定制语料工程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7-1 目标用户与付费结构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7.3 商业模式与定价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采用</w:t>
      </w:r>
      <w:r>
        <w:rPr>
          <w:rFonts w:ascii="Times New Roman" w:hAnsi="Times New Roman" w:eastAsia="宋体"/>
          <w:b/>
          <w:i w:val="0"/>
          <w:sz w:val="21"/>
        </w:rPr>
        <w:t>B 端订阅为主、C 端增值为辅</w:t>
      </w:r>
      <w:r>
        <w:rPr>
          <w:rFonts w:ascii="Times New Roman" w:hAnsi="Times New Roman" w:eastAsia="宋体"/>
          <w:b w:val="0"/>
          <w:i w:val="0"/>
          <w:sz w:val="21"/>
        </w:rPr>
        <w:t>的双轨模式：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B 端 SaaS 订阅</w:t>
      </w:r>
      <w:r>
        <w:rPr>
          <w:rFonts w:ascii="Times New Roman" w:hAnsi="Times New Roman" w:eastAsia="宋体"/>
          <w:b w:val="0"/>
          <w:i w:val="0"/>
          <w:sz w:val="21"/>
        </w:rPr>
        <w:t>：按席位与知识域数量计费，含语料工程、检索调优与年度运维；面向高校与培训机构，建议定价区间为每校每年 3 至 5 万元（含 50 至 200 席位）。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私有化部署授权</w:t>
      </w:r>
      <w:r>
        <w:rPr>
          <w:rFonts w:ascii="Times New Roman" w:hAnsi="Times New Roman" w:eastAsia="宋体"/>
          <w:b w:val="0"/>
          <w:i w:val="0"/>
          <w:sz w:val="21"/>
        </w:rPr>
        <w:t>：一次性授权费加年度运维费，面向对数据边界敏感的企业与政务客户。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C 端增值</w:t>
      </w:r>
      <w:r>
        <w:rPr>
          <w:rFonts w:ascii="Times New Roman" w:hAnsi="Times New Roman" w:eastAsia="宋体"/>
          <w:b w:val="0"/>
          <w:i w:val="0"/>
          <w:sz w:val="21"/>
        </w:rPr>
        <w:t>：免费版提供单一知识域与全部工具；会员版（建议 9.9 元/月）解锁多知识域、答案导出、语音高级音色与个人知识库上传。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增值服务</w:t>
      </w:r>
      <w:r>
        <w:rPr>
          <w:rFonts w:ascii="Times New Roman" w:hAnsi="Times New Roman" w:eastAsia="宋体"/>
          <w:b w:val="0"/>
          <w:i w:val="0"/>
          <w:sz w:val="21"/>
        </w:rPr>
        <w:t>：语料整理与知识工程实施——这是很多 B 端客户真正的痛点，也是我们已具备的能力（本作品的 46 篇语料即为自建）。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7.4 市场空间估算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以高校市场为第一站：全国高等院校约 3000 余所，若按每校年均 3 至 5 万元的教育产品采购额保守测算，仅高校教务与就业指导方向的市场容量即在 </w:t>
      </w:r>
      <w:r>
        <w:rPr>
          <w:rFonts w:ascii="Times New Roman" w:hAnsi="Times New Roman" w:eastAsia="宋体"/>
          <w:b/>
          <w:i w:val="0"/>
          <w:sz w:val="21"/>
        </w:rPr>
        <w:t>1 亿至 1.5 亿元/年</w:t>
      </w:r>
      <w:r>
        <w:rPr>
          <w:rFonts w:ascii="Times New Roman" w:hAnsi="Times New Roman" w:eastAsia="宋体"/>
          <w:b w:val="0"/>
          <w:i w:val="0"/>
          <w:sz w:val="21"/>
        </w:rPr>
        <w:t xml:space="preserve"> 量级；叠加企业培训、考试培训与内部知识管理需求，可触达市场显著更大。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从用户侧看，全国在校本专科生与研究生规模在数千万量级，即便只有 1% 的学生成为活跃用户、其中 5% 转化为会员，也对应百万级付费用户体量，足以支撑一个健康的垂直产品。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DF2F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说明：本节数据为基于公开规模的量级估算，用于说明商业可行性，不构成收入承诺。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7.5 竞争格局与差异化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494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对比对象</w:t>
            </w:r>
          </w:p>
        </w:tc>
        <w:tc>
          <w:tcPr>
            <w:tcW w:type="dxa" w:w="2041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优势</w:t>
            </w:r>
          </w:p>
        </w:tc>
        <w:tc>
          <w:tcPr>
            <w:tcW w:type="dxa" w:w="4535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本作品的差异化</w:t>
            </w:r>
          </w:p>
        </w:tc>
      </w:tr>
      <w:tr>
        <w:tc>
          <w:tcPr>
            <w:tcW w:type="dxa" w:w="249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通用助手（Kimi / 文心 / 通义）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模型能力强、生态大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不拼模型，拼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垂直权威语料 + 过程可视化 + 引用溯源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；通用助手难以保证校园政策的时效与准确</w:t>
            </w:r>
          </w:p>
        </w:tc>
      </w:tr>
      <w:tr>
        <w:tc>
          <w:tcPr>
            <w:tcW w:type="dxa" w:w="249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校园官网 / 教务系统</w:t>
            </w:r>
          </w:p>
        </w:tc>
        <w:tc>
          <w:tcPr>
            <w:tcW w:type="dxa" w:w="204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信息权威</w:t>
            </w:r>
          </w:p>
        </w:tc>
        <w:tc>
          <w:tcPr>
            <w:tcW w:type="dxa" w:w="453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传统系统是检索式与表单式，用户需要自己找；本作品是对话式且答案带出处，还支持图片与语音</w:t>
            </w:r>
          </w:p>
        </w:tc>
      </w:tr>
      <w:tr>
        <w:tc>
          <w:tcPr>
            <w:tcW w:type="dxa" w:w="249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其他 AI 助手类参赛作品</w:t>
            </w:r>
          </w:p>
        </w:tc>
        <w:tc>
          <w:tcPr>
            <w:tcW w:type="dxa" w:w="2041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功能相近</w:t>
            </w:r>
          </w:p>
        </w:tc>
        <w:tc>
          <w:tcPr>
            <w:tcW w:type="dxa" w:w="453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多数作品止步于“能聊天”；本作品把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执行过程做成可验证的证据链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，并实现了标准 MCP 工具发现与多知识域迁移</w:t>
            </w:r>
          </w:p>
        </w:tc>
      </w:tr>
      <w:tr>
        <w:tc>
          <w:tcPr>
            <w:tcW w:type="dxa" w:w="249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企业知识问答产品</w:t>
            </w:r>
          </w:p>
        </w:tc>
        <w:tc>
          <w:tcPr>
            <w:tcW w:type="dxa" w:w="2041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面向 B 端成熟</w:t>
            </w:r>
          </w:p>
        </w:tc>
        <w:tc>
          <w:tcPr>
            <w:tcW w:type="dxa" w:w="4535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本作品在架构上与其同构但更轻量，且已验证双模式与无密钥可复现，适合预算有限的高校与中小机构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7-2 竞争格局与差异化定位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7.6 成本结构与可持续性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成本侧</w:t>
      </w:r>
      <w:r>
        <w:rPr>
          <w:rFonts w:ascii="Times New Roman" w:hAnsi="Times New Roman" w:eastAsia="宋体"/>
          <w:b w:val="0"/>
          <w:i w:val="0"/>
          <w:sz w:val="21"/>
        </w:rPr>
        <w:t>：推理成本是用量线性增长的主要成本项。本作品通过三项工程手段压低边际成本——</w:t>
      </w:r>
      <w:r>
        <w:rPr>
          <w:rFonts w:ascii="Times New Roman" w:hAnsi="Times New Roman" w:eastAsia="宋体"/>
          <w:b/>
          <w:i w:val="0"/>
          <w:sz w:val="21"/>
        </w:rPr>
        <w:t>检索优先</w:t>
      </w:r>
      <w:r>
        <w:rPr>
          <w:rFonts w:ascii="Times New Roman" w:hAnsi="Times New Roman" w:eastAsia="宋体"/>
          <w:b w:val="0"/>
          <w:i w:val="0"/>
          <w:sz w:val="21"/>
        </w:rPr>
        <w:t>（先查语料再生成，减少无效生成）、</w:t>
      </w:r>
      <w:r>
        <w:rPr>
          <w:rFonts w:ascii="Times New Roman" w:hAnsi="Times New Roman" w:eastAsia="宋体"/>
          <w:b/>
          <w:i w:val="0"/>
          <w:sz w:val="21"/>
        </w:rPr>
        <w:t>工具替代心算</w:t>
      </w:r>
      <w:r>
        <w:rPr>
          <w:rFonts w:ascii="Times New Roman" w:hAnsi="Times New Roman" w:eastAsia="宋体"/>
          <w:b w:val="0"/>
          <w:i w:val="0"/>
          <w:sz w:val="21"/>
        </w:rPr>
        <w:t>（精确计算与时间不消耗推理 token）、</w:t>
      </w:r>
      <w:r>
        <w:rPr>
          <w:rFonts w:ascii="Times New Roman" w:hAnsi="Times New Roman" w:eastAsia="宋体"/>
          <w:b/>
          <w:i w:val="0"/>
          <w:sz w:val="21"/>
        </w:rPr>
        <w:t>按帧节流与响应长度约束</w:t>
      </w:r>
      <w:r>
        <w:rPr>
          <w:rFonts w:ascii="Times New Roman" w:hAnsi="Times New Roman" w:eastAsia="宋体"/>
          <w:b w:val="0"/>
          <w:i w:val="0"/>
          <w:sz w:val="21"/>
        </w:rPr>
        <w:t>（降低前端与模型双侧开销）。此外 BM25 常驻、向量可选，使无 Embedding 的环境也能零外部依赖运行。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收入侧与黏性</w:t>
      </w:r>
      <w:r>
        <w:rPr>
          <w:rFonts w:ascii="Times New Roman" w:hAnsi="Times New Roman" w:eastAsia="宋体"/>
          <w:b w:val="0"/>
          <w:i w:val="0"/>
          <w:sz w:val="21"/>
        </w:rPr>
        <w:t>：知识库是可沉淀的数据资产，随赛事周期与培养方案更新持续迭代，形成订阅粘性；语料工程能力可复制到新客户，边际交付成本递减。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/>
          <w:i w:val="0"/>
          <w:sz w:val="21"/>
        </w:rPr>
        <w:t>可持续性的工程前提</w:t>
      </w:r>
      <w:r>
        <w:rPr>
          <w:rFonts w:ascii="Times New Roman" w:hAnsi="Times New Roman" w:eastAsia="宋体"/>
          <w:b w:val="0"/>
          <w:i w:val="0"/>
          <w:sz w:val="21"/>
        </w:rPr>
        <w:t>：系统在无外网密钥时进入演示模式仍可用，这意味着校园内网、涉密单位的私有化部署成为可能——这正是 B 端采购的关键门槛。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7.7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26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type="dxa" w:w="192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影响</w:t>
            </w:r>
          </w:p>
        </w:tc>
        <w:tc>
          <w:tcPr>
            <w:tcW w:type="dxa" w:w="4876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226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大模型幻觉仍未完全消除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错误结论损害信任</w:t>
            </w:r>
          </w:p>
        </w:tc>
        <w:tc>
          <w:tcPr>
            <w:tcW w:type="dxa" w:w="4876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引用编号强制溯源 + 检索不到时如实说明 + 工具替代心算 + 输出侧治理</w:t>
            </w:r>
          </w:p>
        </w:tc>
      </w:tr>
      <w:tr>
        <w:tc>
          <w:tcPr>
            <w:tcW w:type="dxa" w:w="226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模型服务中断或额度耗尽</w:t>
            </w:r>
          </w:p>
        </w:tc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在线演示不可用</w:t>
            </w:r>
          </w:p>
        </w:tc>
        <w:tc>
          <w:tcPr>
            <w:tcW w:type="dxa" w:w="4876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超时重试与降级模型；自动进入演示模式；健康检查定时探活并留痕</w:t>
            </w:r>
          </w:p>
        </w:tc>
      </w:tr>
      <w:tr>
        <w:tc>
          <w:tcPr>
            <w:tcW w:type="dxa" w:w="226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知识库时效性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政策更新后答案过期</w:t>
            </w:r>
          </w:p>
        </w:tc>
        <w:tc>
          <w:tcPr>
            <w:tcW w:type="dxa" w:w="4876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语料自带版本字段与来源标注；规划中的后台更新与版本对比能力</w:t>
            </w:r>
          </w:p>
        </w:tc>
      </w:tr>
      <w:tr>
        <w:tc>
          <w:tcPr>
            <w:tcW w:type="dxa" w:w="226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数据与隐私合规</w:t>
            </w:r>
          </w:p>
        </w:tc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 端采购风险</w:t>
            </w:r>
          </w:p>
        </w:tc>
        <w:tc>
          <w:tcPr>
            <w:tcW w:type="dxa" w:w="4876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默认不收集用户数据；支持私有化部署；密钥仅通过环境变量注入</w:t>
            </w:r>
          </w:p>
        </w:tc>
      </w:tr>
      <w:tr>
        <w:tc>
          <w:tcPr>
            <w:tcW w:type="dxa" w:w="226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同质化竞争</w:t>
            </w:r>
          </w:p>
        </w:tc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评审区分度不足</w:t>
            </w:r>
          </w:p>
        </w:tc>
        <w:tc>
          <w:tcPr>
            <w:tcW w:type="dxa" w:w="4876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以过程透明化与 MCP 工具生态作为差异化技术锚点，持续补齐端侧与语音能力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7-3 风险与应对</w:t>
      </w:r>
    </w:p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8 测试与部署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8.1 测试策略与用例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采用 Vitest 做服务端逻辑的单元与集成测试，总计 </w:t>
      </w:r>
      <w:r>
        <w:rPr>
          <w:rFonts w:ascii="Times New Roman" w:hAnsi="Times New Roman" w:eastAsia="宋体"/>
          <w:b/>
          <w:i w:val="0"/>
          <w:sz w:val="21"/>
        </w:rPr>
        <w:t>66 项用例</w:t>
      </w:r>
      <w:r>
        <w:rPr>
          <w:rFonts w:ascii="Times New Roman" w:hAnsi="Times New Roman" w:eastAsia="宋体"/>
          <w:b w:val="0"/>
          <w:i w:val="0"/>
          <w:sz w:val="21"/>
        </w:rPr>
        <w:t>，全部离线可复现（MCP 测试使用本地 HTTP 服务器模拟真实握手，不依赖外网）。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494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测试文件</w:t>
            </w:r>
          </w:p>
        </w:tc>
        <w:tc>
          <w:tcPr>
            <w:tcW w:type="dxa" w:w="907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用例数</w:t>
            </w:r>
          </w:p>
        </w:tc>
        <w:tc>
          <w:tcPr>
            <w:tcW w:type="dxa" w:w="5669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覆盖范围</w:t>
            </w:r>
          </w:p>
        </w:tc>
      </w:tr>
      <w:tr>
        <w:tc>
          <w:tcPr>
            <w:tcW w:type="dxa" w:w="249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tests/rag.test.ts</w:t>
            </w:r>
          </w:p>
        </w:tc>
        <w:tc>
          <w:tcPr>
            <w:tcW w:type="dxa" w:w="90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BM25 召回准确性、topK 限制、分数区间与排序、来源映射、相关性判定，以及多知识域的域隔离与跨域检索</w:t>
            </w:r>
          </w:p>
        </w:tc>
      </w:tr>
      <w:tr>
        <w:tc>
          <w:tcPr>
            <w:tcW w:type="dxa" w:w="249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tests/tools.test.ts</w:t>
            </w:r>
          </w:p>
        </w:tc>
        <w:tc>
          <w:tcPr>
            <w:tcW w:type="dxa" w:w="90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</w:t>
            </w:r>
          </w:p>
        </w:tc>
        <w:tc>
          <w:tcPr>
            <w:tcW w:type="dxa" w:w="566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计算器精确求值（6 组）、除零与非法输入、时间工具、天气真实数据解析与 WMO 映射、失败不返回假数据、图片理解工具、Schema 契约完整性、工具名唯一性</w:t>
            </w:r>
          </w:p>
        </w:tc>
      </w:tr>
      <w:tr>
        <w:tc>
          <w:tcPr>
            <w:tcW w:type="dxa" w:w="249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tests/mcp.test.ts</w:t>
            </w:r>
          </w:p>
        </w:tc>
        <w:tc>
          <w:tcPr>
            <w:tcW w:type="dxa" w:w="90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MCP 配置解析、工具名转换、真实 HTTP 握手与 tools/list、通过统一 executeTool 调用远端工具、未配置与不可达的降级</w:t>
            </w:r>
          </w:p>
        </w:tc>
      </w:tr>
      <w:tr>
        <w:tc>
          <w:tcPr>
            <w:tcW w:type="dxa" w:w="249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tests/safety.test.ts</w:t>
            </w:r>
          </w:p>
        </w:tc>
        <w:tc>
          <w:tcPr>
            <w:tcW w:type="dxa" w:w="90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</w:t>
            </w:r>
          </w:p>
        </w:tc>
        <w:tc>
          <w:tcPr>
            <w:tcW w:type="dxa" w:w="566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风险话题拦截与变形绕过、归一化、输出密钥遮蔽、高风险输出标记、免责声明</w:t>
            </w:r>
          </w:p>
        </w:tc>
      </w:tr>
      <w:tr>
        <w:tc>
          <w:tcPr>
            <w:tcW w:type="dxa" w:w="2494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tests/vision.test.ts</w:t>
            </w:r>
          </w:p>
        </w:tc>
        <w:tc>
          <w:tcPr>
            <w:tcW w:type="dxa" w:w="907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5669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图片格式与数量校验、视觉消息构建、未配置的引导话术、已配置但失败的可执行提示</w:t>
            </w:r>
          </w:p>
        </w:tc>
      </w:tr>
      <w:tr>
        <w:tc>
          <w:tcPr>
            <w:tcW w:type="dxa" w:w="2494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tests/agent-demo.test.ts</w:t>
            </w:r>
          </w:p>
        </w:tc>
        <w:tc>
          <w:tcPr>
            <w:tcW w:type="dxa" w:w="907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5669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演示模式完整流水线：数学问题走工具、赛事问题带引用、风险输入直接拒绝且不调用工具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8-1 测试用例分布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8.2 构建与运行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6F8FA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npm install        # 安装依赖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npm run dev        # 开发模式（http://localhost:5173）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npm test           # 66 项单元测试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npm run lint       # ESLint 门禁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npm run typecheck  # TypeScript 严格模式类型检查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npm run build      # 类型检查 + 生产构建（分包）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sz w:val="17"/>
              </w:rPr>
              <w:t>npm run server     # 独立生产服务器（静态托管 + gzip + /api，默认 8787）</w:t>
            </w:r>
          </w:p>
        </w:tc>
      </w:tr>
    </w:tbl>
    <w:p>
      <w:pPr>
        <w:spacing w:after="40"/>
      </w:pP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环境变量通过 .env（本机）或平台环境变量（部署）注入，全部可配置项已在 .env.example 中列出，包含大模型、视觉模型、向量检索、天气模式、MCP、限流与体积上限等分组说明。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8.3 部署方案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提供四条部署路线（详见仓库 DEPLOY.md）：</w:t>
      </w:r>
      <w:r>
        <w:rPr>
          <w:rFonts w:ascii="Times New Roman" w:hAnsi="Times New Roman" w:eastAsia="宋体"/>
          <w:b/>
          <w:i w:val="0"/>
          <w:sz w:val="21"/>
        </w:rPr>
        <w:t>Railway / Render</w:t>
      </w:r>
      <w:r>
        <w:rPr>
          <w:rFonts w:ascii="Times New Roman" w:hAnsi="Times New Roman" w:eastAsia="宋体"/>
          <w:b w:val="0"/>
          <w:i w:val="0"/>
          <w:sz w:val="21"/>
        </w:rPr>
        <w:t>（连接仓库自动部署，推荐）、</w:t>
      </w:r>
      <w:r>
        <w:rPr>
          <w:rFonts w:ascii="Times New Roman" w:hAnsi="Times New Roman" w:eastAsia="宋体"/>
          <w:b/>
          <w:i w:val="0"/>
          <w:sz w:val="21"/>
        </w:rPr>
        <w:t>Docker</w:t>
      </w:r>
      <w:r>
        <w:rPr>
          <w:rFonts w:ascii="Times New Roman" w:hAnsi="Times New Roman" w:eastAsia="宋体"/>
          <w:b w:val="0"/>
          <w:i w:val="0"/>
          <w:sz w:val="21"/>
        </w:rPr>
        <w:t>（镜像内不含任何密钥，运行时注入）、</w:t>
      </w:r>
      <w:r>
        <w:rPr>
          <w:rFonts w:ascii="Times New Roman" w:hAnsi="Times New Roman" w:eastAsia="宋体"/>
          <w:b/>
          <w:i w:val="0"/>
          <w:sz w:val="21"/>
        </w:rPr>
        <w:t>裸机 + pm2</w:t>
      </w:r>
      <w:r>
        <w:rPr>
          <w:rFonts w:ascii="Times New Roman" w:hAnsi="Times New Roman" w:eastAsia="宋体"/>
          <w:b w:val="0"/>
          <w:i w:val="0"/>
          <w:sz w:val="21"/>
        </w:rPr>
        <w:t>。在线演示地址：https://zhixing-agent-production.up.railway.app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为什么不用 Serverless 静态托管：本作品的 /api/chat 是基于常驻连接的 SSE 流式接口，需要长驻进程承载，因此选择 Railway / Render / Docker 这类长驻方案；如需迁移到 Serverless，可将 server 层改写为 Next.js Route Handler（已列入路线图）。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8.4 评审期服务保障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保活</w:t>
      </w:r>
      <w:r>
        <w:rPr>
          <w:rFonts w:ascii="Times New Roman" w:hAnsi="Times New Roman" w:eastAsia="宋体"/>
          <w:b w:val="0"/>
          <w:i w:val="0"/>
          <w:sz w:val="21"/>
        </w:rPr>
        <w:t>：GitHub Actions 每 10 分钟探活一次 /api/health，既避免免费档实例休眠，也在服务异常时于 Actions 留下红色记录（可通过仓库变量 DEMO_URL 切换地址）。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额度</w:t>
      </w:r>
      <w:r>
        <w:rPr>
          <w:rFonts w:ascii="Times New Roman" w:hAnsi="Times New Roman" w:eastAsia="宋体"/>
          <w:b w:val="0"/>
          <w:i w:val="0"/>
          <w:sz w:val="21"/>
        </w:rPr>
        <w:t>：评审期使用独立 API Key 并预留额度；即使额度耗尽，应用会自动进入演示模式，检索与工具仍然真实执行。</w:t>
      </w:r>
    </w:p>
    <w:p>
      <w:pPr>
        <w:pStyle w:val="ListBullet"/>
        <w:spacing w:after="60" w:line="336" w:lineRule="auto"/>
        <w:ind w:left="340"/>
      </w:pPr>
      <w:r>
        <w:rPr>
          <w:rFonts w:ascii="Times New Roman" w:hAnsi="Times New Roman" w:eastAsia="宋体"/>
          <w:b/>
          <w:i w:val="0"/>
          <w:sz w:val="21"/>
        </w:rPr>
        <w:t>降级预案</w:t>
      </w:r>
      <w:r>
        <w:rPr>
          <w:rFonts w:ascii="Times New Roman" w:hAnsi="Times New Roman" w:eastAsia="宋体"/>
          <w:b w:val="0"/>
          <w:i w:val="0"/>
          <w:sz w:val="21"/>
        </w:rPr>
        <w:t>：演示视频与本地运行记录作为兜底证据；/api/health 可随时确认当前模式、知识库规模与图片理解可用性。</w:t>
      </w:r>
    </w:p>
    <w:p>
      <w:r>
        <w:br w:type="page"/>
      </w:r>
    </w:p>
    <w:p>
      <w:pPr>
        <w:spacing w:before="320" w:after="160"/>
        <w:pBdr>
          <w:bottom w:val="single" w:sz="10" w:space="3" w:color="C7D2DE"/>
        </w:pBdr>
      </w:pPr>
      <w:r>
        <w:rPr>
          <w:rFonts w:ascii="Segoe UI" w:hAnsi="Segoe UI" w:eastAsia="微软雅黑"/>
          <w:b/>
          <w:i w:val="0"/>
          <w:color w:val="1F3A5F"/>
          <w:sz w:val="34"/>
        </w:rPr>
        <w:t>9 总结与展望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9.1 当前成果</w:t>
      </w:r>
    </w:p>
    <w:p>
      <w:pPr>
        <w:spacing w:after="120" w:before="0" w:line="348" w:lineRule="auto"/>
      </w:pPr>
      <w:r>
        <w:rPr>
          <w:rFonts w:ascii="Times New Roman" w:hAnsi="Times New Roman" w:eastAsia="宋体"/>
          <w:b w:val="0"/>
          <w:i w:val="0"/>
          <w:sz w:val="21"/>
        </w:rPr>
        <w:t>知行 Agent 已完成从“能聊天”到“可验证”的完整闭环：透明的执行计划、可追溯的引用、真实的外部工具、进入主循环的多模态、标准 MCP 工具发现、多知识域场景迁移、以及输入输出双侧的安全治理。工程质量上，约 4800 行 TypeScript 通过严格类型检查与 ESLint，66 项单元测试与 CI 门禁保证可回归，生产构建完成代码分割与 gzip 优化，线上演示地址持续可用。</w:t>
      </w:r>
    </w:p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9.2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020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4762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type="dxa" w:w="328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价值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近期</w:t>
            </w:r>
          </w:p>
        </w:tc>
        <w:tc>
          <w:tcPr>
            <w:tcW w:type="dxa" w:w="476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知识库升级为向量入库（pgvector / Milvus），支持文档上传与自动分块</w:t>
            </w:r>
          </w:p>
        </w:tc>
        <w:tc>
          <w:tcPr>
            <w:tcW w:type="dxa" w:w="328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从固定语料走向用户自有语料</w:t>
            </w:r>
          </w:p>
        </w:tc>
      </w:tr>
      <w:tr>
        <w:tc>
          <w:tcPr>
            <w:tcW w:type="dxa" w:w="102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近期</w:t>
            </w:r>
          </w:p>
        </w:tc>
        <w:tc>
          <w:tcPr>
            <w:tcW w:type="dxa" w:w="476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接入更多标准 MCP Server（文件系统、浏览器、数据库），实现工具动态发现</w:t>
            </w:r>
          </w:p>
        </w:tc>
        <w:tc>
          <w:tcPr>
            <w:tcW w:type="dxa" w:w="328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从自建工具走向生态工具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中期</w:t>
            </w:r>
          </w:p>
        </w:tc>
        <w:tc>
          <w:tcPr>
            <w:tcW w:type="dxa" w:w="476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端侧智能：Transformers.js / WebGPU 浏览器端小模型推理</w:t>
            </w:r>
          </w:p>
        </w:tc>
        <w:tc>
          <w:tcPr>
            <w:tcW w:type="dxa" w:w="328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降低推理成本与隐私风险</w:t>
            </w:r>
          </w:p>
        </w:tc>
      </w:tr>
      <w:tr>
        <w:tc>
          <w:tcPr>
            <w:tcW w:type="dxa" w:w="102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中期</w:t>
            </w:r>
          </w:p>
        </w:tc>
        <w:tc>
          <w:tcPr>
            <w:tcW w:type="dxa" w:w="476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生成式 UI 增强：工具结果渲染为图表与时间线（ECharts）</w:t>
            </w:r>
          </w:p>
        </w:tc>
        <w:tc>
          <w:tcPr>
            <w:tcW w:type="dxa" w:w="328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提升信息密度与可读性</w:t>
            </w:r>
          </w:p>
        </w:tc>
      </w:tr>
      <w:tr>
        <w:tc>
          <w:tcPr>
            <w:tcW w:type="dxa" w:w="1020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中期</w:t>
            </w:r>
          </w:p>
        </w:tc>
        <w:tc>
          <w:tcPr>
            <w:tcW w:type="dxa" w:w="4762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Multi-Agent 编排：Planner / Executor / Reviewer 三角色协作</w:t>
            </w:r>
          </w:p>
        </w:tc>
        <w:tc>
          <w:tcPr>
            <w:tcW w:type="dxa" w:w="328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复杂任务的质量与可靠性提升</w:t>
            </w:r>
          </w:p>
        </w:tc>
      </w:tr>
      <w:tr>
        <w:tc>
          <w:tcPr>
            <w:tcW w:type="dxa" w:w="1020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远期</w:t>
            </w:r>
          </w:p>
        </w:tc>
        <w:tc>
          <w:tcPr>
            <w:tcW w:type="dxa" w:w="4762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多租户与权限体系、语料版本管理与评测集</w:t>
            </w:r>
          </w:p>
        </w:tc>
        <w:tc>
          <w:tcPr>
            <w:tcW w:type="dxa" w:w="328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具备真正的 B 端交付能力</w:t>
            </w:r>
          </w:p>
        </w:tc>
      </w:tr>
    </w:tbl>
    <w:p>
      <w:pPr>
        <w:spacing w:before="220" w:after="100"/>
      </w:pPr>
      <w:r>
        <w:rPr>
          <w:rFonts w:ascii="Segoe UI" w:hAnsi="Segoe UI" w:eastAsia="微软雅黑"/>
          <w:b/>
          <w:i w:val="0"/>
          <w:color w:val="2E5A88"/>
          <w:sz w:val="27"/>
        </w:rPr>
        <w:t>9.3 团队信息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28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495F6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队伍名称</w:t>
            </w:r>
          </w:p>
        </w:tc>
        <w:tc>
          <w:tcPr>
            <w:tcW w:type="dxa" w:w="7143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＿＿＿＿＿＿（提交前填写）</w:t>
            </w:r>
          </w:p>
        </w:tc>
      </w:tr>
      <w:tr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成员及分工</w:t>
            </w:r>
          </w:p>
        </w:tc>
        <w:tc>
          <w:tcPr>
            <w:tcW w:type="dxa" w:w="7143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＿＿＿＿＿＿（提交前填写）</w:t>
            </w:r>
          </w:p>
        </w:tc>
      </w:tr>
      <w:tr>
        <w:tc>
          <w:tcPr>
            <w:tcW w:type="dxa" w:w="1928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指导老师</w:t>
            </w:r>
          </w:p>
        </w:tc>
        <w:tc>
          <w:tcPr>
            <w:tcW w:type="dxa" w:w="7143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＿＿＿＿＿＿（提交前填写）</w:t>
            </w:r>
          </w:p>
        </w:tc>
      </w:tr>
      <w:tr>
        <w:tc>
          <w:tcPr>
            <w:tcW w:type="dxa" w:w="1928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参赛组别</w:t>
            </w:r>
          </w:p>
        </w:tc>
        <w:tc>
          <w:tcPr>
            <w:tcW w:type="dxa" w:w="7143"/>
            <w:shd w:val="clear" w:color="auto" w:fill="F3F4F5"/>
          </w:tcPr>
          <w:p>
            <w:pPr>
              <w:spacing w:after="40" w:line="312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 组（非 985/211 普通本科院校本科生）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 w:val="0"/>
          <w:color w:val="5A6670"/>
          <w:sz w:val="17"/>
        </w:rPr>
        <w:t>表 9-1 团队信息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A6670"/>
        <w:sz w:val="16"/>
      </w:rPr>
      <w:t xml:space="preserve">知行 Agent 技术文档  ·  第 </w:t>
    </w:r>
    <w:fldSimple w:instr="PAGE">
      <w:r>
        <w:t>1</w:t>
      </w:r>
    </w:fldSimple>
    <w:r>
      <w:rPr>
        <w:rFonts w:ascii="Times New Roman" w:hAnsi="Times New Roman" w:eastAsia="宋体"/>
        <w:b w:val="0"/>
        <w:i w:val="0"/>
        <w:color w:val="5A66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