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бриф-проекта-firewall-llm-fwllm"/>
    <w:p>
      <w:pPr>
        <w:pStyle w:val="Heading1"/>
      </w:pPr>
      <w:r>
        <w:t xml:space="preserve">Бриф проекта: Firewall LLM (fwllm)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Версия документа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2026-08-30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Статус проекта</w:t>
            </w:r>
          </w:p>
        </w:tc>
        <w:tc>
          <w:tcPr/>
          <w:p>
            <w:pPr>
              <w:pStyle w:val="Compact"/>
            </w:pPr>
            <w:r>
              <w:t xml:space="preserve">MVP Ready — в эксплуатации на dev-server (192.168.88.101)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Модель разработки</w:t>
            </w:r>
          </w:p>
        </w:tc>
        <w:tc>
          <w:tcPr/>
          <w:p>
            <w:pPr>
              <w:pStyle w:val="Compact"/>
            </w:pPr>
            <w:r>
              <w:t xml:space="preserve">Open-core, TDD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концепция"/>
    <w:p>
      <w:pPr>
        <w:pStyle w:val="Heading2"/>
      </w:pPr>
      <w:r>
        <w:t xml:space="preserve">1. Концепция</w:t>
      </w:r>
    </w:p>
    <w:p>
      <w:pPr>
        <w:pStyle w:val="FirstParagraph"/>
      </w:pPr>
      <w:r>
        <w:rPr>
          <w:b/>
          <w:bCs/>
        </w:rPr>
        <w:t xml:space="preserve">Firewall LLM (fwllm)</w:t>
      </w:r>
      <w:r>
        <w:t xml:space="preserve"> </w:t>
      </w:r>
      <w:r>
        <w:t xml:space="preserve">— шлюз безопасности (security gateway) для трафика к большим</w:t>
      </w:r>
      <w:r>
        <w:t xml:space="preserve"> </w:t>
      </w:r>
      <w:r>
        <w:t xml:space="preserve">языковым моделям и AI-агентам. Продукт устанавливается on-prem, встаёт между</w:t>
      </w:r>
      <w:r>
        <w:t xml:space="preserve"> </w:t>
      </w:r>
      <w:r>
        <w:t xml:space="preserve">приложениями и LLM-провайдерами и контролирует: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Расходы на токены</w:t>
      </w:r>
      <w:r>
        <w:t xml:space="preserve"> </w:t>
      </w:r>
      <w:r>
        <w:t xml:space="preserve">— учёт, квоты, лимиты per user/team/project;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Утечки данных (DLP)</w:t>
      </w:r>
      <w:r>
        <w:t xml:space="preserve"> </w:t>
      </w:r>
      <w:r>
        <w:t xml:space="preserve">— обнаружение и маскирование PII и чувствительных данных;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Prompt injection / jailbreak</w:t>
      </w:r>
      <w:r>
        <w:t xml:space="preserve"> </w:t>
      </w:r>
      <w:r>
        <w:t xml:space="preserve">— детекция атак на модели;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Теневой ИИ</w:t>
      </w:r>
      <w:r>
        <w:t xml:space="preserve"> </w:t>
      </w:r>
      <w:r>
        <w:t xml:space="preserve">— блокировка неавторизованных провайдеров и endpoints;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Маршрутизацию моделей</w:t>
      </w:r>
      <w:r>
        <w:t xml:space="preserve"> </w:t>
      </w:r>
      <w:r>
        <w:t xml:space="preserve">— несколько провайдеров за единым API с автопереключением.</w:t>
      </w:r>
    </w:p>
    <w:p>
      <w:pPr>
        <w:pStyle w:val="FirstParagraph"/>
      </w:pPr>
      <w:r>
        <w:t xml:space="preserve">Аналоги на рынке: Lakera Guard, Protect AI, Prompt Security, Azure AI Content Safety.</w:t>
      </w:r>
      <w:r>
        <w:t xml:space="preserve"> </w:t>
      </w:r>
      <w:r>
        <w:t xml:space="preserve">Отличие — open-core модель и полноценный on-prem/air-gapped режим.</w:t>
      </w:r>
    </w:p>
    <w:bookmarkEnd w:id="20"/>
    <w:bookmarkStart w:id="21" w:name="цели-и-задачи-mvp"/>
    <w:p>
      <w:pPr>
        <w:pStyle w:val="Heading2"/>
      </w:pPr>
      <w:r>
        <w:t xml:space="preserve">2. Цели и задачи MVP</w:t>
      </w:r>
    </w:p>
    <w:p>
      <w:pPr>
        <w:pStyle w:val="Compact"/>
        <w:numPr>
          <w:ilvl w:val="0"/>
          <w:numId w:val="1002"/>
        </w:numPr>
      </w:pPr>
      <w:r>
        <w:t xml:space="preserve">Единый OpenAI-совместимый вход (</w:t>
      </w:r>
      <w:r>
        <w:rPr>
          <w:rStyle w:val="VerbatimChar"/>
        </w:rPr>
        <w:t xml:space="preserve">POST /v1/chat/completions</w:t>
      </w:r>
      <w:r>
        <w:t xml:space="preserve">) для всех клиентов.</w:t>
      </w:r>
    </w:p>
    <w:p>
      <w:pPr>
        <w:pStyle w:val="Compact"/>
        <w:numPr>
          <w:ilvl w:val="0"/>
          <w:numId w:val="1002"/>
        </w:numPr>
      </w:pPr>
      <w:r>
        <w:t xml:space="preserve">Сменные адаптеры провайдеров: по одному внешнему API — свой прокси-адаптер.</w:t>
      </w:r>
    </w:p>
    <w:p>
      <w:pPr>
        <w:pStyle w:val="Compact"/>
        <w:numPr>
          <w:ilvl w:val="0"/>
          <w:numId w:val="1002"/>
        </w:numPr>
      </w:pPr>
      <w:r>
        <w:t xml:space="preserve">Учёт токенов и запросов, квоты, алерты.</w:t>
      </w:r>
    </w:p>
    <w:p>
      <w:pPr>
        <w:pStyle w:val="Compact"/>
        <w:numPr>
          <w:ilvl w:val="0"/>
          <w:numId w:val="1002"/>
        </w:numPr>
      </w:pPr>
      <w:r>
        <w:t xml:space="preserve">DLP-маскирование исходящих промптов на базе LightAnon (обратимая санитизация).</w:t>
      </w:r>
    </w:p>
    <w:p>
      <w:pPr>
        <w:pStyle w:val="Compact"/>
        <w:numPr>
          <w:ilvl w:val="0"/>
          <w:numId w:val="1002"/>
        </w:numPr>
      </w:pPr>
      <w:r>
        <w:t xml:space="preserve">Детектор prompt injection (сигнатуры + события).</w:t>
      </w:r>
    </w:p>
    <w:p>
      <w:pPr>
        <w:pStyle w:val="Compact"/>
        <w:numPr>
          <w:ilvl w:val="0"/>
          <w:numId w:val="1002"/>
        </w:numPr>
      </w:pPr>
      <w:r>
        <w:t xml:space="preserve">Политики маршрутизации в YAML: переключение провайдера по количеству токенов,</w:t>
      </w:r>
      <w:r>
        <w:t xml:space="preserve"> </w:t>
      </w:r>
      <w:r>
        <w:t xml:space="preserve">количеству запросов, при детекции атаки, при деградации провайдера.</w:t>
      </w:r>
    </w:p>
    <w:p>
      <w:pPr>
        <w:pStyle w:val="Compact"/>
        <w:numPr>
          <w:ilvl w:val="0"/>
          <w:numId w:val="1002"/>
        </w:numPr>
      </w:pPr>
      <w:r>
        <w:t xml:space="preserve">Пул исходящих прокси + туннель</w:t>
      </w:r>
      <w:r>
        <w:t xml:space="preserve"> </w:t>
      </w:r>
      <w:r>
        <w:rPr>
          <w:rStyle w:val="VerbatimChar"/>
        </w:rPr>
        <w:t xml:space="preserve">wss://:8443</w:t>
      </w:r>
      <w:r>
        <w:t xml:space="preserve"> </w:t>
      </w:r>
      <w:r>
        <w:t xml:space="preserve">(агент маскирует окружение), с ротацией по</w:t>
      </w:r>
      <w:r>
        <w:t xml:space="preserve"> </w:t>
      </w:r>
      <w:r>
        <w:t xml:space="preserve">настраиваемому количеству запросов.</w:t>
      </w:r>
    </w:p>
    <w:p>
      <w:pPr>
        <w:pStyle w:val="Compact"/>
        <w:numPr>
          <w:ilvl w:val="0"/>
          <w:numId w:val="1002"/>
        </w:numPr>
      </w:pPr>
      <w:r>
        <w:t xml:space="preserve">Метрики Prometheus + дашборд в существующем инстансе Grafana (импорт через API).</w:t>
      </w:r>
    </w:p>
    <w:p>
      <w:pPr>
        <w:pStyle w:val="Compact"/>
        <w:numPr>
          <w:ilvl w:val="0"/>
          <w:numId w:val="1002"/>
        </w:numPr>
      </w:pPr>
      <w:r>
        <w:t xml:space="preserve">Аудит-лог всех запросов/ответов с редакцией PII.</w:t>
      </w:r>
    </w:p>
    <w:bookmarkEnd w:id="21"/>
    <w:bookmarkStart w:id="29" w:name="ключевые-архитектурные-решения"/>
    <w:p>
      <w:pPr>
        <w:pStyle w:val="Heading2"/>
      </w:pPr>
      <w:r>
        <w:t xml:space="preserve">3. Ключевые архитектурные решения</w:t>
      </w:r>
    </w:p>
    <w:bookmarkStart w:id="22" w:name="модульная-архитектура"/>
    <w:p>
      <w:pPr>
        <w:pStyle w:val="Heading3"/>
      </w:pPr>
      <w:r>
        <w:t xml:space="preserve">3.1 Модульная архитектура</w:t>
      </w:r>
    </w:p>
    <w:p>
      <w:pPr>
        <w:pStyle w:val="SourceCode"/>
      </w:pPr>
      <w:r>
        <w:rPr>
          <w:rStyle w:val="VerbatimChar"/>
        </w:rPr>
        <w:t xml:space="preserve">Клиенты ──► Unified API ──► CORE Gateway</w:t>
      </w:r>
      <w:r>
        <w:br/>
      </w:r>
      <w:r>
        <w:rPr>
          <w:rStyle w:val="VerbatimChar"/>
        </w:rPr>
        <w:t xml:space="preserve">                              ├─ Router (+ Policy Engine)</w:t>
      </w:r>
      <w:r>
        <w:br/>
      </w:r>
      <w:r>
        <w:rPr>
          <w:rStyle w:val="VerbatimChar"/>
        </w:rPr>
        <w:t xml:space="preserve">                              ├─ Inspector (prompt injection, DLP/LightAnon)</w:t>
      </w:r>
      <w:r>
        <w:br/>
      </w:r>
      <w:r>
        <w:rPr>
          <w:rStyle w:val="VerbatimChar"/>
        </w:rPr>
        <w:t xml:space="preserve">                              ├─ Metering (токены, квоты)</w:t>
      </w:r>
      <w:r>
        <w:br/>
      </w:r>
      <w:r>
        <w:rPr>
          <w:rStyle w:val="VerbatimChar"/>
        </w:rPr>
        <w:t xml:space="preserve">                              ├─ Egress Proxy Pool</w:t>
      </w:r>
      <w:r>
        <w:br/>
      </w:r>
      <w:r>
        <w:rPr>
          <w:rStyle w:val="VerbatimChar"/>
        </w:rPr>
        <w:t xml:space="preserve">                              ├─ Audit Log</w:t>
      </w:r>
      <w:r>
        <w:br/>
      </w:r>
      <w:r>
        <w:rPr>
          <w:rStyle w:val="VerbatimChar"/>
        </w:rPr>
        <w:t xml:space="preserve">                              └─ Observability (/metrics → Prometheus → Grafana)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Provider Adapters: [openrouter] [openai] [anthropic] [ollama]</w:t>
      </w:r>
    </w:p>
    <w:p>
      <w:pPr>
        <w:pStyle w:val="FirstParagraph"/>
      </w:pPr>
      <w:r>
        <w:t xml:space="preserve">Единая точка входа; несколько моделей за одним API. Каждый внешний API обслуживается</w:t>
      </w:r>
      <w:r>
        <w:t xml:space="preserve"> </w:t>
      </w:r>
      <w:r>
        <w:t xml:space="preserve">своим адаптером. Роутер выбирает адаптер по политикам.</w:t>
      </w:r>
    </w:p>
    <w:bookmarkEnd w:id="22"/>
    <w:bookmarkStart w:id="23" w:name="политики-переключения-провайдеров"/>
    <w:p>
      <w:pPr>
        <w:pStyle w:val="Heading3"/>
      </w:pPr>
      <w:r>
        <w:t xml:space="preserve">3.2 Политики переключения провайдеров</w:t>
      </w:r>
    </w:p>
    <w:p>
      <w:pPr>
        <w:pStyle w:val="FirstParagraph"/>
      </w:pPr>
      <w:r>
        <w:t xml:space="preserve">Декларативные YAML-правила, движок один — триггеры любые. Событийная модель:</w:t>
      </w:r>
      <w:r>
        <w:t xml:space="preserve"> </w:t>
      </w:r>
      <w:r>
        <w:t xml:space="preserve">metering/inspector публикуют события (</w:t>
      </w:r>
      <w:r>
        <w:rPr>
          <w:rStyle w:val="VerbatimChar"/>
        </w:rPr>
        <w:t xml:space="preserve">tokens_spent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attack_detected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provider_error</w:t>
      </w:r>
      <w:r>
        <w:t xml:space="preserve">) → policy engine пересчитывает routing table →</w:t>
      </w:r>
      <w:r>
        <w:t xml:space="preserve"> </w:t>
      </w:r>
      <w:r>
        <w:t xml:space="preserve">роутер читает актуальное состояние.</w:t>
      </w:r>
    </w:p>
    <w:p>
      <w:pPr>
        <w:pStyle w:val="BodyText"/>
      </w:pPr>
      <w:r>
        <w:t xml:space="preserve">Примеры правил:</w:t>
      </w:r>
    </w:p>
    <w:p>
      <w:pPr>
        <w:pStyle w:val="SourceCode"/>
      </w:pP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token-budget-switch</w:t>
      </w:r>
      <w:r>
        <w:rPr>
          <w:rStyle w:val="CommentTok"/>
        </w:rPr>
        <w:t xml:space="preserve">          # по количеству токенов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provider_tokens_today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5000000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switch_to: backup-anthropic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rate-switch</w:t>
      </w:r>
      <w:r>
        <w:rPr>
          <w:rStyle w:val="CommentTok"/>
        </w:rPr>
        <w:t xml:space="preserve">                  # по количеству запросов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requests_per_minute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switch_to: local-vllm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attack-failover</w:t>
      </w:r>
      <w:r>
        <w:rPr>
          <w:rStyle w:val="CommentTok"/>
        </w:rPr>
        <w:t xml:space="preserve">              # при детекции атаки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event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attack_detected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block_source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switch_default_to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local-vllm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health-failover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provider_error_rate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60s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switch_to: next_in_chain</w:t>
      </w:r>
    </w:p>
    <w:p>
      <w:pPr>
        <w:pStyle w:val="FirstParagraph"/>
      </w:pPr>
      <w:r>
        <w:t xml:space="preserve">Состояние переключения персистентно (Redis), переживает рестарт, имеет cooldown и</w:t>
      </w:r>
      <w:r>
        <w:t xml:space="preserve"> </w:t>
      </w:r>
      <w:r>
        <w:t xml:space="preserve">ручной сброс. Маппинг моделей между провайдерами (например,</w:t>
      </w:r>
      <w:r>
        <w:t xml:space="preserve"> </w:t>
      </w:r>
      <w:r>
        <w:rPr>
          <w:rStyle w:val="VerbatimChar"/>
        </w:rPr>
        <w:t xml:space="preserve">gpt-4o</w:t>
      </w:r>
      <w:r>
        <w:t xml:space="preserve"> </w:t>
      </w:r>
      <w:r>
        <w:t xml:space="preserve">↔ free-модель</w:t>
      </w:r>
      <w:r>
        <w:t xml:space="preserve"> </w:t>
      </w:r>
      <w:r>
        <w:t xml:space="preserve">OpenRouter) — через таблицу соответствий.</w:t>
      </w:r>
    </w:p>
    <w:bookmarkEnd w:id="23"/>
    <w:bookmarkStart w:id="25" w:name="интеграция-lightanon"/>
    <w:p>
      <w:pPr>
        <w:pStyle w:val="Heading3"/>
      </w:pPr>
      <w:r>
        <w:t xml:space="preserve">3.3 Интеграция LightAnon</w:t>
      </w:r>
    </w:p>
    <w:p>
      <w:pPr>
        <w:pStyle w:val="FirstParagraph"/>
      </w:pPr>
      <w:r>
        <w:t xml:space="preserve">Библиотека</w:t>
      </w:r>
      <w:r>
        <w:t xml:space="preserve"> </w:t>
      </w:r>
      <w:hyperlink r:id="rId24">
        <w:r>
          <w:rPr>
            <w:rStyle w:val="Hyperlink"/>
          </w:rPr>
          <w:t xml:space="preserve">LightAnon</w:t>
        </w:r>
      </w:hyperlink>
      <w:r>
        <w:t xml:space="preserve"> </w:t>
      </w:r>
      <w:r>
        <w:t xml:space="preserve">(MIT) используется как DLP-движок в цепочке инспекторов:</w:t>
      </w:r>
    </w:p>
    <w:p>
      <w:pPr>
        <w:pStyle w:val="Compact"/>
        <w:numPr>
          <w:ilvl w:val="0"/>
          <w:numId w:val="1003"/>
        </w:numPr>
      </w:pPr>
      <w:r>
        <w:t xml:space="preserve">request:</w:t>
      </w:r>
      <w:r>
        <w:t xml:space="preserve"> </w:t>
      </w:r>
      <w:r>
        <w:rPr>
          <w:rStyle w:val="VerbatimChar"/>
        </w:rPr>
        <w:t xml:space="preserve">rag sanitize</w:t>
      </w:r>
      <w:r>
        <w:t xml:space="preserve"> </w:t>
      </w:r>
      <w:r>
        <w:t xml:space="preserve">— замена чувствительных данных токенами перед отправкой;</w:t>
      </w:r>
    </w:p>
    <w:p>
      <w:pPr>
        <w:pStyle w:val="Compact"/>
        <w:numPr>
          <w:ilvl w:val="0"/>
          <w:numId w:val="1003"/>
        </w:numPr>
      </w:pPr>
      <w:r>
        <w:t xml:space="preserve">response:</w:t>
      </w:r>
      <w:r>
        <w:t xml:space="preserve"> </w:t>
      </w:r>
      <w:r>
        <w:rPr>
          <w:rStyle w:val="VerbatimChar"/>
        </w:rPr>
        <w:t xml:space="preserve">rag restore</w:t>
      </w:r>
      <w:r>
        <w:t xml:space="preserve"> </w:t>
      </w:r>
      <w:r>
        <w:t xml:space="preserve">— обратное восстановление из ответа LLM (политика</w:t>
      </w:r>
      <w:r>
        <w:t xml:space="preserve"> </w:t>
      </w:r>
      <w:r>
        <w:rPr>
          <w:rStyle w:val="VerbatimChar"/>
        </w:rPr>
        <w:t xml:space="preserve">restore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t xml:space="preserve">выносится в YAML);</w:t>
      </w:r>
    </w:p>
    <w:p>
      <w:pPr>
        <w:pStyle w:val="Compact"/>
        <w:numPr>
          <w:ilvl w:val="0"/>
          <w:numId w:val="1003"/>
        </w:numPr>
      </w:pPr>
      <w:r>
        <w:t xml:space="preserve">vault хранится локально с TTL (on-prem требование);</w:t>
      </w:r>
    </w:p>
    <w:p>
      <w:pPr>
        <w:pStyle w:val="Compact"/>
        <w:numPr>
          <w:ilvl w:val="0"/>
          <w:numId w:val="1003"/>
        </w:numPr>
      </w:pPr>
      <w:r>
        <w:t xml:space="preserve">финансовые правила, профиль соответствия</w:t>
      </w:r>
      <w:r>
        <w:t xml:space="preserve"> </w:t>
      </w:r>
      <w:r>
        <w:rPr>
          <w:rStyle w:val="VerbatimChar"/>
        </w:rPr>
        <w:t xml:space="preserve">ru_152</w:t>
      </w:r>
      <w:r>
        <w:t xml:space="preserve">, compliance-отчёты.</w:t>
      </w:r>
    </w:p>
    <w:bookmarkEnd w:id="25"/>
    <w:bookmarkStart w:id="26" w:name="egress-proxy-pool"/>
    <w:p>
      <w:pPr>
        <w:pStyle w:val="Heading3"/>
      </w:pPr>
      <w:r>
        <w:t xml:space="preserve">3.4 Egress proxy pool</w:t>
      </w:r>
    </w:p>
    <w:p>
      <w:pPr>
        <w:pStyle w:val="FirstParagraph"/>
      </w:pPr>
      <w:r>
        <w:t xml:space="preserve">Пул исходящих HTTP(S CONNECT) прокси, назначаемых на каждый адаптер провайдера:</w:t>
      </w:r>
    </w:p>
    <w:p>
      <w:pPr>
        <w:pStyle w:val="SourceCode"/>
      </w:pPr>
      <w:r>
        <w:rPr>
          <w:rStyle w:val="FunctionTok"/>
        </w:rPr>
        <w:t xml:space="preserve">egress_proxies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openai-pool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proxies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"http://proxy1.internal:8080"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"http://proxy2.internal:8080"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rotation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round_robin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requests_per_proxy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fail_threshold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cooldown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bindings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openai-adapter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openai-pool</w:t>
      </w:r>
    </w:p>
    <w:p>
      <w:pPr>
        <w:pStyle w:val="FirstParagraph"/>
      </w:pPr>
      <w:r>
        <w:t xml:space="preserve">Стратегии ротации: round_robin / random / least_used; переключение по настраиваемому</w:t>
      </w:r>
      <w:r>
        <w:t xml:space="preserve"> </w:t>
      </w:r>
      <w:r>
        <w:t xml:space="preserve">количеству запросов; healthcheck с исключением и cooldown. События пула</w:t>
      </w:r>
      <w:r>
        <w:t xml:space="preserve"> </w:t>
      </w:r>
      <w:r>
        <w:t xml:space="preserve">(</w:t>
      </w:r>
      <w:r>
        <w:rPr>
          <w:rStyle w:val="VerbatimChar"/>
        </w:rPr>
        <w:t xml:space="preserve">proxy_rotated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proxy_failed</w:t>
      </w:r>
      <w:r>
        <w:t xml:space="preserve">) попадают в policy engine и метрики.</w:t>
      </w:r>
    </w:p>
    <w:bookmarkEnd w:id="26"/>
    <w:bookmarkStart w:id="27" w:name="наблюдаемость"/>
    <w:p>
      <w:pPr>
        <w:pStyle w:val="Heading3"/>
      </w:pPr>
      <w:r>
        <w:t xml:space="preserve">3.5 Наблюдаемость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prometheus_client</w:t>
      </w:r>
      <w:r>
        <w:t xml:space="preserve">, endpoint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метрики с лейблами</w:t>
      </w:r>
      <w:r>
        <w:t xml:space="preserve"> </w:t>
      </w:r>
      <w:r>
        <w:rPr>
          <w:rStyle w:val="VerbatimChar"/>
        </w:rPr>
        <w:t xml:space="preserve">{provider, adapter, model, proxy, route}</w:t>
      </w:r>
      <w:r>
        <w:t xml:space="preserve">:</w:t>
      </w:r>
      <w:r>
        <w:t xml:space="preserve"> </w:t>
      </w:r>
      <w:r>
        <w:rPr>
          <w:rStyle w:val="VerbatimChar"/>
        </w:rPr>
        <w:t xml:space="preserve">fw_requests_total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fw_tokens_total{direction}</w:t>
      </w:r>
      <w:r>
        <w:t xml:space="preserve">,</w:t>
      </w:r>
      <w:r>
        <w:t xml:space="preserve"> </w:t>
      </w:r>
      <w:r>
        <w:rPr>
          <w:rStyle w:val="VerbatimChar"/>
        </w:rPr>
        <w:t xml:space="preserve">fw_request_duration_seconds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fw_injection_detections_total{severity}</w:t>
      </w:r>
      <w:r>
        <w:t xml:space="preserve">,</w:t>
      </w:r>
      <w:r>
        <w:t xml:space="preserve"> </w:t>
      </w:r>
      <w:r>
        <w:rPr>
          <w:rStyle w:val="VerbatimChar"/>
        </w:rPr>
        <w:t xml:space="preserve">fw_dlp_redactions_total{rule}</w:t>
      </w:r>
      <w:r>
        <w:t xml:space="preserve">,</w:t>
      </w:r>
      <w:r>
        <w:t xml:space="preserve"> </w:t>
      </w:r>
      <w:r>
        <w:rPr>
          <w:rStyle w:val="VerbatimChar"/>
        </w:rPr>
        <w:t xml:space="preserve">fw_router_active_provider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fw_proxy_requests_total{proxy}</w:t>
      </w:r>
      <w:r>
        <w:t xml:space="preserve">,</w:t>
      </w:r>
      <w:r>
        <w:t xml:space="preserve"> </w:t>
      </w:r>
      <w:r>
        <w:rPr>
          <w:rStyle w:val="VerbatimChar"/>
        </w:rPr>
        <w:t xml:space="preserve">fw_proxy_healthy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Дашборды — JSON в репо (</w:t>
      </w:r>
      <w:r>
        <w:rPr>
          <w:rStyle w:val="VerbatimChar"/>
        </w:rPr>
        <w:t xml:space="preserve">deploy/grafana/dashboards/</w:t>
      </w:r>
      <w:r>
        <w:t xml:space="preserve">), идемпотентный импорт в</w:t>
      </w:r>
      <w:r>
        <w:t xml:space="preserve"> </w:t>
      </w:r>
      <w:r>
        <w:t xml:space="preserve">существующий инстанс Grafana через HTTP API (обновление по UID).</w:t>
      </w:r>
    </w:p>
    <w:bookmarkEnd w:id="27"/>
    <w:bookmarkStart w:id="28" w:name="on-prem-требования"/>
    <w:p>
      <w:pPr>
        <w:pStyle w:val="Heading3"/>
      </w:pPr>
      <w:r>
        <w:t xml:space="preserve">3.6 On-prem требования</w:t>
      </w:r>
    </w:p>
    <w:p>
      <w:pPr>
        <w:pStyle w:val="Compact"/>
        <w:numPr>
          <w:ilvl w:val="0"/>
          <w:numId w:val="1005"/>
        </w:numPr>
      </w:pPr>
      <w:r>
        <w:t xml:space="preserve">Никакой телеметрии наружу; Redis/Postgres внутри контура;</w:t>
      </w:r>
    </w:p>
    <w:p>
      <w:pPr>
        <w:pStyle w:val="Compact"/>
        <w:numPr>
          <w:ilvl w:val="0"/>
          <w:numId w:val="1005"/>
        </w:numPr>
      </w:pPr>
      <w:r>
        <w:t xml:space="preserve">Локальные ONNX-модели детекторов, offline-обновление сигнатур;</w:t>
      </w:r>
    </w:p>
    <w:p>
      <w:pPr>
        <w:pStyle w:val="Compact"/>
        <w:numPr>
          <w:ilvl w:val="0"/>
          <w:numId w:val="1005"/>
        </w:numPr>
      </w:pPr>
      <w:r>
        <w:t xml:space="preserve">Аутентификация админки через LDAP/OIDC существующего контура;</w:t>
      </w:r>
    </w:p>
    <w:p>
      <w:pPr>
        <w:pStyle w:val="Compact"/>
        <w:numPr>
          <w:ilvl w:val="0"/>
          <w:numId w:val="1005"/>
        </w:numPr>
      </w:pPr>
      <w:r>
        <w:t xml:space="preserve">Деплой Docker Compose, air-gapped установка. (Helm-чарт в репо есть, но k8s-поставка вне скоупа релиза 0.1.0 — возможна позже при развитии.)</w:t>
      </w:r>
    </w:p>
    <w:bookmarkEnd w:id="28"/>
    <w:bookmarkEnd w:id="29"/>
    <w:bookmarkStart w:id="30" w:name="технологический-стек"/>
    <w:p>
      <w:pPr>
        <w:pStyle w:val="Heading2"/>
      </w:pPr>
      <w:r>
        <w:t xml:space="preserve">4. Технологический стек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Выбор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MVP-ветка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 3.11+, FastAPI, httpx, redis, prometheus-client, lightanon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Вторая ветка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</w:t>
            </w:r>
            <w:r>
              <w:t xml:space="preserve"> </w:t>
            </w:r>
            <w:r>
              <w:t xml:space="preserve">(production gateway: axum/hyper, низкие задержки; контракты общие с Python)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Контракты</w:t>
            </w:r>
          </w:p>
        </w:tc>
        <w:tc>
          <w:tcPr/>
          <w:p>
            <w:pPr>
              <w:pStyle w:val="Compact"/>
            </w:pPr>
            <w:r>
              <w:t xml:space="preserve">OpenAPI unified API + JSON Schema политик (единые для обеих веток)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Хранилища</w:t>
            </w:r>
          </w:p>
        </w:tc>
        <w:tc>
          <w:tcPr/>
          <w:p>
            <w:pPr>
              <w:pStyle w:val="Compact"/>
            </w:pPr>
            <w:r>
              <w:t xml:space="preserve">PostgreSQL (логи, состояние), Redis (квоты, routing state)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Наблюдаемость</w:t>
            </w:r>
          </w:p>
        </w:tc>
        <w:tc>
          <w:tcPr/>
          <w:p>
            <w:pPr>
              <w:pStyle w:val="Compact"/>
            </w:pPr>
            <w:r>
              <w:t xml:space="preserve">Prometheus + Grafana (существующий инстанс)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Тесты</w:t>
            </w:r>
          </w:p>
        </w:tc>
        <w:tc>
          <w:tcPr/>
          <w:p>
            <w:pPr>
              <w:pStyle w:val="Compact"/>
            </w:pPr>
            <w:r>
              <w:t xml:space="preserve">pytest, respx, testcontainers, schemathesis; парадигма</w:t>
            </w:r>
            <w:r>
              <w:t xml:space="preserve"> </w:t>
            </w:r>
            <w:r>
              <w:rPr>
                <w:b/>
                <w:bCs/>
              </w:rPr>
              <w:t xml:space="preserve">TDD</w:t>
            </w:r>
          </w:p>
        </w:tc>
      </w:tr>
    </w:tbl>
    <w:bookmarkEnd w:id="30"/>
    <w:bookmarkStart w:id="31" w:name="open-core-модель"/>
    <w:p>
      <w:pPr>
        <w:pStyle w:val="Heading2"/>
      </w:pPr>
      <w:r>
        <w:t xml:space="preserve">5. Open-core модель</w:t>
      </w:r>
    </w:p>
    <w:p>
      <w:pPr>
        <w:pStyle w:val="FirstParagraph"/>
      </w:pPr>
      <w:r>
        <w:rPr>
          <w:b/>
          <w:bCs/>
        </w:rPr>
        <w:t xml:space="preserve">Открытая часть</w:t>
      </w:r>
      <w:r>
        <w:t xml:space="preserve">: gateway, unified API, адаптеры, router, policy engine, базовый</w:t>
      </w:r>
      <w:r>
        <w:t xml:space="preserve"> </w:t>
      </w:r>
      <w:r>
        <w:t xml:space="preserve">metering, правила DLP/injection, audit log, CLI.</w:t>
      </w:r>
    </w:p>
    <w:p>
      <w:pPr>
        <w:pStyle w:val="BodyText"/>
      </w:pPr>
      <w:r>
        <w:rPr>
          <w:b/>
          <w:bCs/>
        </w:rPr>
        <w:t xml:space="preserve">Проприетарная часть (Enterprise)</w:t>
      </w:r>
      <w:r>
        <w:t xml:space="preserve">: обученные ML-детекторы инъекций, продвинутый</w:t>
      </w:r>
      <w:r>
        <w:t xml:space="preserve"> </w:t>
      </w:r>
      <w:r>
        <w:t xml:space="preserve">DLP (NER, классификация данных), UI управления, SIEM-интеграции, RBAC/LDAP,</w:t>
      </w:r>
      <w:r>
        <w:t xml:space="preserve"> </w:t>
      </w:r>
      <w:r>
        <w:t xml:space="preserve">мультиарендность, HA-кластер, air-gapped обновления.</w:t>
      </w:r>
    </w:p>
    <w:p>
      <w:pPr>
        <w:pStyle w:val="BodyText"/>
      </w:pPr>
      <w:r>
        <w:t xml:space="preserve">Ядро определяет публичные extension points (</w:t>
      </w:r>
      <w:r>
        <w:rPr>
          <w:rStyle w:val="VerbatimChar"/>
        </w:rPr>
        <w:t xml:space="preserve">Inspector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AuditSink</w:t>
      </w:r>
      <w:r>
        <w:t xml:space="preserve">) — enterprise-фичи и сторонние плагины подключаются как плагины.</w:t>
      </w:r>
    </w:p>
    <w:p>
      <w:pPr>
        <w:pStyle w:val="BodyText"/>
      </w:pPr>
      <w:r>
        <w:t xml:space="preserve">Лицензия ядра:</w:t>
      </w:r>
      <w:r>
        <w:t xml:space="preserve"> </w:t>
      </w:r>
      <w:r>
        <w:rPr>
          <w:b/>
          <w:bCs/>
        </w:rPr>
        <w:t xml:space="preserve">FSL-1.1-MIT</w:t>
      </w:r>
      <w:r>
        <w:t xml:space="preserve"> </w:t>
      </w:r>
      <w:r>
        <w:t xml:space="preserve">(выбрано): source-available, запрет конкурировать</w:t>
      </w:r>
      <w:r>
        <w:t xml:space="preserve"> </w:t>
      </w:r>
      <w:r>
        <w:t xml:space="preserve">с продюсером как LLM security gateway, автоматический переход в MIT через 2 года</w:t>
      </w:r>
      <w:r>
        <w:t xml:space="preserve"> </w:t>
      </w:r>
      <w:r>
        <w:t xml:space="preserve">после публикации каждой версии. Enterprise-модули — коммерческая лицензия.</w:t>
      </w:r>
    </w:p>
    <w:bookmarkEnd w:id="31"/>
    <w:bookmarkStart w:id="32" w:name="план-реализации-tdd"/>
    <w:p>
      <w:pPr>
        <w:pStyle w:val="Heading2"/>
      </w:pPr>
      <w:r>
        <w:t xml:space="preserve">6. План реализации (TDD)</w:t>
      </w:r>
    </w:p>
    <w:p>
      <w:pPr>
        <w:pStyle w:val="FirstParagraph"/>
      </w:pPr>
      <w:r>
        <w:t xml:space="preserve">Полный план —</w:t>
      </w:r>
      <w:r>
        <w:t xml:space="preserve"> </w:t>
      </w:r>
      <w:r>
        <w:rPr>
          <w:rStyle w:val="VerbatimChar"/>
        </w:rPr>
        <w:t xml:space="preserve">docs/PLAN.md</w:t>
      </w:r>
      <w:r>
        <w:t xml:space="preserve">. Принципы: red→green→refactor; контракты раньше кода;</w:t>
      </w:r>
      <w:r>
        <w:t xml:space="preserve"> </w:t>
      </w:r>
      <w:r>
        <w:t xml:space="preserve">пирамида тестов (unit → integration → e2e → contract); секреты только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Фаза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Фундамент: скелет пакета, CI, контракты, конфиг</w:t>
            </w:r>
          </w:p>
        </w:tc>
        <w:tc>
          <w:tcPr/>
          <w:p>
            <w:pPr>
              <w:pStyle w:val="Compact"/>
            </w:pPr>
            <w:r>
              <w:t xml:space="preserve">0.5 нед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Gateway: unified API, streaming, аутентификация</w:t>
            </w:r>
          </w:p>
        </w:tc>
        <w:tc>
          <w:tcPr/>
          <w:p>
            <w:pPr>
              <w:pStyle w:val="Compact"/>
            </w:pPr>
            <w:r>
              <w:t xml:space="preserve">1 нед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Адаптеры: Provider protocol, OpenRouter (free models), Ollama</w:t>
            </w:r>
          </w:p>
        </w:tc>
        <w:tc>
          <w:tcPr/>
          <w:p>
            <w:pPr>
              <w:pStyle w:val="Compact"/>
            </w:pPr>
            <w:r>
              <w:t xml:space="preserve">1 нед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Metering: счётчики, квоты, события</w:t>
            </w:r>
          </w:p>
        </w:tc>
        <w:tc>
          <w:tcPr/>
          <w:p>
            <w:pPr>
              <w:pStyle w:val="Compact"/>
            </w:pPr>
            <w:r>
              <w:t xml:space="preserve">1 нед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Observability: метрики, импорт дашборда в Grafana</w:t>
            </w:r>
          </w:p>
        </w:tc>
        <w:tc>
          <w:tcPr/>
          <w:p>
            <w:pPr>
              <w:pStyle w:val="Compact"/>
            </w:pPr>
            <w:r>
              <w:t xml:space="preserve">0.5 нед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Inspector: DLP/LightAnon + prompt injection</w:t>
            </w:r>
          </w:p>
        </w:tc>
        <w:tc>
          <w:tcPr/>
          <w:p>
            <w:pPr>
              <w:pStyle w:val="Compact"/>
            </w:pPr>
            <w:r>
              <w:t xml:space="preserve">1.5 нед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Egress proxy pool: пул, ротация, healthcheck</w:t>
            </w:r>
          </w:p>
        </w:tc>
        <w:tc>
          <w:tcPr/>
          <w:p>
            <w:pPr>
              <w:pStyle w:val="Compact"/>
            </w:pPr>
            <w:r>
              <w:t xml:space="preserve">1 нед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Router + Policy Engine: правила, переключения, персистентность</w:t>
            </w:r>
          </w:p>
        </w:tc>
        <w:tc>
          <w:tcPr/>
          <w:p>
            <w:pPr>
              <w:pStyle w:val="Compact"/>
            </w:pPr>
            <w:r>
              <w:t xml:space="preserve">1.5 нед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Audit log + Admin API</w:t>
            </w:r>
          </w:p>
        </w:tc>
        <w:tc>
          <w:tcPr/>
          <w:p>
            <w:pPr>
              <w:pStyle w:val="Compact"/>
            </w:pPr>
            <w:r>
              <w:t xml:space="preserve">1 нед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Стабилизация: нагрузочное, Compose, документация (Helm-чарт без живого стенда — вне релиза)</w:t>
            </w:r>
          </w:p>
        </w:tc>
        <w:tc>
          <w:tcPr/>
          <w:p>
            <w:pPr>
              <w:pStyle w:val="Compact"/>
            </w:pPr>
            <w:r>
              <w:t xml:space="preserve">~1 нед</w:t>
            </w:r>
          </w:p>
        </w:tc>
      </w:tr>
    </w:tbl>
    <w:p>
      <w:pPr>
        <w:pStyle w:val="BodyText"/>
      </w:pPr>
      <w:r>
        <w:rPr>
          <w:b/>
          <w:bCs/>
        </w:rPr>
        <w:t xml:space="preserve">Вехи: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M1</w:t>
      </w:r>
      <w:r>
        <w:t xml:space="preserve"> </w:t>
      </w:r>
      <w:r>
        <w:t xml:space="preserve">— рабочий прокси к бесплатным моделям (фазы 0–2)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M2</w:t>
      </w:r>
      <w:r>
        <w:t xml:space="preserve"> </w:t>
      </w:r>
      <w:r>
        <w:t xml:space="preserve">— учёт токенов + дашборд в Grafana (фазы 3–4)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M3</w:t>
      </w:r>
      <w:r>
        <w:t xml:space="preserve"> </w:t>
      </w:r>
      <w:r>
        <w:t xml:space="preserve">— безопасность (DLP/injection) + прокси-пул (фазы 5–6)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M4</w:t>
      </w:r>
      <w:r>
        <w:t xml:space="preserve"> </w:t>
      </w:r>
      <w:r>
        <w:t xml:space="preserve">— автопереключение провайдеров + аудит; MVP закрыт (фазы 7–8)</w:t>
      </w:r>
    </w:p>
    <w:bookmarkEnd w:id="32"/>
    <w:bookmarkStart w:id="33" w:name="инфраструктура"/>
    <w:p>
      <w:pPr>
        <w:pStyle w:val="Heading2"/>
      </w:pPr>
      <w:r>
        <w:t xml:space="preserve">7. Инфраструктура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dev-server</w:t>
            </w:r>
            <w:r>
              <w:t xml:space="preserve"> </w:t>
            </w:r>
            <w:r>
              <w:rPr>
                <w:rStyle w:val="VerbatimChar"/>
              </w:rPr>
              <w:t xml:space="preserve">192.168.88.101</w:t>
            </w:r>
            <w:r>
              <w:t xml:space="preserve"> </w:t>
            </w:r>
            <w:r>
              <w:t xml:space="preserve">(Ubuntu 24.04, Docker 29)</w:t>
            </w:r>
          </w:p>
        </w:tc>
        <w:tc>
          <w:tcPr/>
          <w:p>
            <w:pPr>
              <w:pStyle w:val="Compact"/>
            </w:pPr>
            <w:r>
              <w:t xml:space="preserve">Тестовый стенд: Prometheus, Grafana, Redis, mock-провайдер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(репозиторий создаётся)</w:t>
            </w:r>
          </w:p>
        </w:tc>
        <w:tc>
          <w:tcPr/>
          <w:p>
            <w:pPr>
              <w:pStyle w:val="Compact"/>
            </w:pPr>
            <w:r>
              <w:t xml:space="preserve">Хостинг кода,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OpenRouter test key</w:t>
            </w:r>
          </w:p>
        </w:tc>
        <w:tc>
          <w:tcPr/>
          <w:p>
            <w:pPr>
              <w:pStyle w:val="Compact"/>
            </w:pPr>
            <w:r>
              <w:t xml:space="preserve">Бесплатные модели для разработки и smoke-тестов</w:t>
            </w:r>
          </w:p>
        </w:tc>
      </w:tr>
    </w:tbl>
    <w:bookmarkEnd w:id="33"/>
    <w:bookmarkStart w:id="34" w:name="риски-и-открытые-вопросы"/>
    <w:p>
      <w:pPr>
        <w:pStyle w:val="Heading2"/>
      </w:pPr>
      <w:r>
        <w:t xml:space="preserve">8. Риски и открытые вопросы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Риск/вопрос</w:t>
            </w:r>
          </w:p>
        </w:tc>
        <w:tc>
          <w:tcPr/>
          <w:p>
            <w:pPr>
              <w:pStyle w:val="Compact"/>
            </w:pPr>
            <w:r>
              <w:t xml:space="preserve">Митигация/статус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Расхождение Python/Rust веток</w:t>
            </w:r>
          </w:p>
        </w:tc>
        <w:tc>
          <w:tcPr/>
          <w:p>
            <w:pPr>
              <w:pStyle w:val="Compact"/>
            </w:pPr>
            <w:r>
              <w:t xml:space="preserve">Единые контракты + контрактные тесты до реализации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 LightAnon при стриминге</w:t>
            </w:r>
          </w:p>
        </w:tc>
        <w:tc>
          <w:tcPr/>
          <w:p>
            <w:pPr>
              <w:pStyle w:val="Compact"/>
            </w:pPr>
            <w:r>
              <w:t xml:space="preserve">Отдельная задача фазы 5: чанковый restore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Прокси без HTTPS CONNECT</w:t>
            </w:r>
          </w:p>
        </w:tc>
        <w:tc>
          <w:tcPr/>
          <w:p>
            <w:pPr>
              <w:pStyle w:val="Compact"/>
            </w:pPr>
            <w:r>
              <w:t xml:space="preserve">Проверка поддержки на этапе healthcheck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Лицензия</w:t>
            </w:r>
          </w:p>
        </w:tc>
        <w:tc>
          <w:tcPr/>
          <w:p>
            <w:pPr>
              <w:pStyle w:val="Compact"/>
            </w:pPr>
            <w:r>
              <w:t xml:space="preserve">FSL-1.1-MIT выбрана, LICENSE в репо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Ключи/пароли в репо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вместо реальных значений</w:t>
            </w: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github.com/SoldatovAlexander/lightanon_projec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github.com/SoldatovAlexander/lightanon_projec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2026-09-06T17:02:33Z</dcterms:created>
  <dcterms:modified xsi:type="dcterms:W3CDTF">2026-09-06T17:02:33Z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