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427C" w14:textId="77777777" w:rsidR="00CD3502" w:rsidRPr="00CD3502" w:rsidRDefault="00CD3502" w:rsidP="00CD3502">
      <w:pPr>
        <w:spacing w:line="480" w:lineRule="auto"/>
        <w:rPr>
          <w:rFonts w:ascii="Times New Roman" w:hAnsi="Times New Roman" w:cs="Times New Roman"/>
          <w:b/>
          <w:bCs/>
        </w:rPr>
      </w:pPr>
      <w:r w:rsidRPr="00CD3502">
        <w:rPr>
          <w:rFonts w:ascii="Times New Roman" w:hAnsi="Times New Roman" w:cs="Times New Roman"/>
          <w:b/>
          <w:bCs/>
        </w:rPr>
        <w:t>Reflection on 3D Scene Development</w:t>
      </w:r>
    </w:p>
    <w:p w14:paraId="23F582FC" w14:textId="279C9798" w:rsidR="00CD3502" w:rsidRPr="00CD3502" w:rsidRDefault="00CD3502" w:rsidP="00CD3502">
      <w:pPr>
        <w:spacing w:line="480" w:lineRule="auto"/>
        <w:ind w:firstLine="720"/>
        <w:rPr>
          <w:rFonts w:ascii="Times New Roman" w:hAnsi="Times New Roman" w:cs="Times New Roman"/>
        </w:rPr>
      </w:pPr>
      <w:r w:rsidRPr="00CD3502">
        <w:rPr>
          <w:rFonts w:ascii="Times New Roman" w:hAnsi="Times New Roman" w:cs="Times New Roman"/>
        </w:rPr>
        <w:t>For my 3D scene, I recreated a cozy living room corner with a mid-century modern chair, record player cabinet, and wall-mounted picture frames. I chose these objects because they offered different levels of complexity and let me practice texture mapping, materials, and lighting.</w:t>
      </w:r>
      <w:r>
        <w:rPr>
          <w:rFonts w:ascii="Times New Roman" w:hAnsi="Times New Roman" w:cs="Times New Roman"/>
        </w:rPr>
        <w:t xml:space="preserve"> </w:t>
      </w:r>
      <w:r w:rsidRPr="00CD3502">
        <w:rPr>
          <w:rFonts w:ascii="Times New Roman" w:hAnsi="Times New Roman" w:cs="Times New Roman"/>
        </w:rPr>
        <w:t xml:space="preserve">The chair is the </w:t>
      </w:r>
      <w:proofErr w:type="gramStart"/>
      <w:r w:rsidRPr="00CD3502">
        <w:rPr>
          <w:rFonts w:ascii="Times New Roman" w:hAnsi="Times New Roman" w:cs="Times New Roman"/>
        </w:rPr>
        <w:t>main focus</w:t>
      </w:r>
      <w:proofErr w:type="gramEnd"/>
      <w:r w:rsidRPr="00CD3502">
        <w:rPr>
          <w:rFonts w:ascii="Times New Roman" w:hAnsi="Times New Roman" w:cs="Times New Roman"/>
        </w:rPr>
        <w:t>. It's built from cylinders for legs, boxes for the frame and cushions, and carefully positioned armrests. I picked this object because it required precise transformations and showed I could combine simple shapes into something recognizable. The angled legs and tilted backrest demonstrate rotation, while the layered cushions show depth.</w:t>
      </w:r>
      <w:r>
        <w:rPr>
          <w:rFonts w:ascii="Times New Roman" w:hAnsi="Times New Roman" w:cs="Times New Roman"/>
        </w:rPr>
        <w:t xml:space="preserve"> </w:t>
      </w:r>
      <w:r w:rsidRPr="00CD3502">
        <w:rPr>
          <w:rFonts w:ascii="Times New Roman" w:hAnsi="Times New Roman" w:cs="Times New Roman"/>
        </w:rPr>
        <w:t>The record player cabinet adds context and introduces metallic materials. It has legs, a body, doors, and the record player itself with turntable, vinyl record, and tonearm. This let me work with different materials—from metal surfaces to glossy vinyl—and practice positioning connected parts.</w:t>
      </w:r>
    </w:p>
    <w:p w14:paraId="1CD73066" w14:textId="3DB627D2" w:rsidR="00CD3502" w:rsidRPr="00CD3502" w:rsidRDefault="00CD3502" w:rsidP="00CD3502">
      <w:pPr>
        <w:spacing w:line="480" w:lineRule="auto"/>
        <w:ind w:firstLine="720"/>
        <w:rPr>
          <w:rFonts w:ascii="Times New Roman" w:hAnsi="Times New Roman" w:cs="Times New Roman"/>
        </w:rPr>
      </w:pPr>
      <w:r w:rsidRPr="00CD3502">
        <w:rPr>
          <w:rFonts w:ascii="Times New Roman" w:hAnsi="Times New Roman" w:cs="Times New Roman"/>
        </w:rPr>
        <w:t>The picture frames provide visual interest and show texture application on vertical surfaces. The small polka-dot cup adds a final detail. For functionality, I used the</w:t>
      </w:r>
      <w:r w:rsidRPr="00CD3502">
        <w:rPr>
          <w:rFonts w:ascii="Times New Roman" w:hAnsi="Times New Roman" w:cs="Times New Roman"/>
        </w:rPr>
        <w:t xml:space="preserve"> </w:t>
      </w:r>
      <w:r w:rsidRPr="00CD3502">
        <w:rPr>
          <w:rFonts w:ascii="Times New Roman" w:hAnsi="Times New Roman" w:cs="Times New Roman"/>
        </w:rPr>
        <w:t xml:space="preserve">reusable material definitions and </w:t>
      </w:r>
      <w:proofErr w:type="spellStart"/>
      <w:proofErr w:type="gramStart"/>
      <w:r w:rsidRPr="00CD3502">
        <w:rPr>
          <w:rFonts w:ascii="Times New Roman" w:hAnsi="Times New Roman" w:cs="Times New Roman"/>
        </w:rPr>
        <w:t>SetupSceneLights</w:t>
      </w:r>
      <w:proofErr w:type="spellEnd"/>
      <w:r w:rsidRPr="00CD3502">
        <w:rPr>
          <w:rFonts w:ascii="Times New Roman" w:hAnsi="Times New Roman" w:cs="Times New Roman"/>
        </w:rPr>
        <w:t>(</w:t>
      </w:r>
      <w:proofErr w:type="gramEnd"/>
      <w:r w:rsidRPr="00CD3502">
        <w:rPr>
          <w:rFonts w:ascii="Times New Roman" w:hAnsi="Times New Roman" w:cs="Times New Roman"/>
        </w:rPr>
        <w:t xml:space="preserve">) for </w:t>
      </w:r>
      <w:proofErr w:type="gramStart"/>
      <w:r w:rsidRPr="00CD3502">
        <w:rPr>
          <w:rFonts w:ascii="Times New Roman" w:hAnsi="Times New Roman" w:cs="Times New Roman"/>
        </w:rPr>
        <w:t>a directional</w:t>
      </w:r>
      <w:proofErr w:type="gramEnd"/>
      <w:r w:rsidRPr="00CD3502">
        <w:rPr>
          <w:rFonts w:ascii="Times New Roman" w:hAnsi="Times New Roman" w:cs="Times New Roman"/>
        </w:rPr>
        <w:t xml:space="preserve"> light plus </w:t>
      </w:r>
      <w:r w:rsidRPr="00CD3502">
        <w:rPr>
          <w:rFonts w:ascii="Times New Roman" w:hAnsi="Times New Roman" w:cs="Times New Roman"/>
        </w:rPr>
        <w:t>two-point</w:t>
      </w:r>
      <w:r w:rsidRPr="00CD3502">
        <w:rPr>
          <w:rFonts w:ascii="Times New Roman" w:hAnsi="Times New Roman" w:cs="Times New Roman"/>
        </w:rPr>
        <w:t xml:space="preserve"> lights that create depth and highlights.</w:t>
      </w:r>
      <w:r>
        <w:rPr>
          <w:rFonts w:ascii="Times New Roman" w:hAnsi="Times New Roman" w:cs="Times New Roman"/>
        </w:rPr>
        <w:t xml:space="preserve"> </w:t>
      </w:r>
      <w:r w:rsidRPr="00CD3502">
        <w:rPr>
          <w:rFonts w:ascii="Times New Roman" w:hAnsi="Times New Roman" w:cs="Times New Roman"/>
        </w:rPr>
        <w:t xml:space="preserve">Users </w:t>
      </w:r>
      <w:r w:rsidRPr="00CD3502">
        <w:rPr>
          <w:rFonts w:ascii="Times New Roman" w:hAnsi="Times New Roman" w:cs="Times New Roman"/>
        </w:rPr>
        <w:t xml:space="preserve">can </w:t>
      </w:r>
      <w:r w:rsidRPr="00CD3502">
        <w:rPr>
          <w:rFonts w:ascii="Times New Roman" w:hAnsi="Times New Roman" w:cs="Times New Roman"/>
        </w:rPr>
        <w:t>navigate through keyboard and mouse controls. The W, A, S, D keys move forward, left, backward, and right. Q and E move up and down. This WASD scheme is familiar from gaming, making it intuitive.</w:t>
      </w:r>
      <w:r>
        <w:rPr>
          <w:rFonts w:ascii="Times New Roman" w:hAnsi="Times New Roman" w:cs="Times New Roman"/>
        </w:rPr>
        <w:t xml:space="preserve"> </w:t>
      </w:r>
      <w:r w:rsidRPr="00CD3502">
        <w:rPr>
          <w:rFonts w:ascii="Times New Roman" w:hAnsi="Times New Roman" w:cs="Times New Roman"/>
        </w:rPr>
        <w:t>Mouse movement controls camera orientation. Moving the mouse left and right rotates the view horizontally, while vertical movement tilts up and down. This creates a natural first-person experience. The mouse scroll wheel zooms in and out. The P</w:t>
      </w:r>
      <w:r w:rsidRPr="00CD3502">
        <w:rPr>
          <w:rFonts w:ascii="Times New Roman" w:hAnsi="Times New Roman" w:cs="Times New Roman"/>
        </w:rPr>
        <w:t xml:space="preserve"> and O</w:t>
      </w:r>
      <w:r w:rsidRPr="00CD3502">
        <w:rPr>
          <w:rFonts w:ascii="Times New Roman" w:hAnsi="Times New Roman" w:cs="Times New Roman"/>
        </w:rPr>
        <w:t xml:space="preserve"> key</w:t>
      </w:r>
      <w:r w:rsidRPr="00CD3502">
        <w:rPr>
          <w:rFonts w:ascii="Times New Roman" w:hAnsi="Times New Roman" w:cs="Times New Roman"/>
        </w:rPr>
        <w:t>s</w:t>
      </w:r>
      <w:r w:rsidRPr="00CD3502">
        <w:rPr>
          <w:rFonts w:ascii="Times New Roman" w:hAnsi="Times New Roman" w:cs="Times New Roman"/>
        </w:rPr>
        <w:t xml:space="preserve"> </w:t>
      </w:r>
      <w:proofErr w:type="gramStart"/>
      <w:r w:rsidRPr="00CD3502">
        <w:rPr>
          <w:rFonts w:ascii="Times New Roman" w:hAnsi="Times New Roman" w:cs="Times New Roman"/>
        </w:rPr>
        <w:t>toggles</w:t>
      </w:r>
      <w:proofErr w:type="gramEnd"/>
      <w:r w:rsidRPr="00CD3502">
        <w:rPr>
          <w:rFonts w:ascii="Times New Roman" w:hAnsi="Times New Roman" w:cs="Times New Roman"/>
        </w:rPr>
        <w:t xml:space="preserve"> between perspective and orthographic views.</w:t>
      </w:r>
      <w:r>
        <w:rPr>
          <w:rFonts w:ascii="Times New Roman" w:hAnsi="Times New Roman" w:cs="Times New Roman"/>
        </w:rPr>
        <w:t xml:space="preserve"> </w:t>
      </w:r>
      <w:r w:rsidRPr="00CD3502">
        <w:rPr>
          <w:rFonts w:ascii="Times New Roman" w:hAnsi="Times New Roman" w:cs="Times New Roman"/>
        </w:rPr>
        <w:t>All camera transformations use GLM library functions for correct view matrices. The camera maintains consistent orientation to prevent disorienting effects.</w:t>
      </w:r>
    </w:p>
    <w:p w14:paraId="1B117DBE" w14:textId="6B236FD3" w:rsidR="00CD3502" w:rsidRPr="00CD3502" w:rsidRDefault="00CD3502" w:rsidP="00CD3502">
      <w:pPr>
        <w:spacing w:line="480" w:lineRule="auto"/>
        <w:ind w:firstLine="720"/>
        <w:rPr>
          <w:rFonts w:ascii="Times New Roman" w:hAnsi="Times New Roman" w:cs="Times New Roman"/>
        </w:rPr>
      </w:pPr>
      <w:r w:rsidRPr="00CD3502">
        <w:rPr>
          <w:rFonts w:ascii="Times New Roman" w:hAnsi="Times New Roman" w:cs="Times New Roman"/>
        </w:rPr>
        <w:lastRenderedPageBreak/>
        <w:t xml:space="preserve">I </w:t>
      </w:r>
      <w:r>
        <w:rPr>
          <w:rFonts w:ascii="Times New Roman" w:hAnsi="Times New Roman" w:cs="Times New Roman"/>
        </w:rPr>
        <w:t>utilized</w:t>
      </w:r>
      <w:r w:rsidRPr="00CD3502">
        <w:rPr>
          <w:rFonts w:ascii="Times New Roman" w:hAnsi="Times New Roman" w:cs="Times New Roman"/>
        </w:rPr>
        <w:t xml:space="preserve"> several custom functions for modularity and organization. </w:t>
      </w:r>
      <w:proofErr w:type="spellStart"/>
      <w:proofErr w:type="gramStart"/>
      <w:r w:rsidRPr="00CD3502">
        <w:rPr>
          <w:rFonts w:ascii="Times New Roman" w:hAnsi="Times New Roman" w:cs="Times New Roman"/>
        </w:rPr>
        <w:t>SetTransformations</w:t>
      </w:r>
      <w:proofErr w:type="spellEnd"/>
      <w:r w:rsidRPr="00CD3502">
        <w:rPr>
          <w:rFonts w:ascii="Times New Roman" w:hAnsi="Times New Roman" w:cs="Times New Roman"/>
        </w:rPr>
        <w:t>(</w:t>
      </w:r>
      <w:proofErr w:type="gramEnd"/>
      <w:r w:rsidRPr="00CD3502">
        <w:rPr>
          <w:rFonts w:ascii="Times New Roman" w:hAnsi="Times New Roman" w:cs="Times New Roman"/>
        </w:rPr>
        <w:t xml:space="preserve">) </w:t>
      </w:r>
      <w:proofErr w:type="gramStart"/>
      <w:r w:rsidRPr="00CD3502">
        <w:rPr>
          <w:rFonts w:ascii="Times New Roman" w:hAnsi="Times New Roman" w:cs="Times New Roman"/>
        </w:rPr>
        <w:t>is</w:t>
      </w:r>
      <w:proofErr w:type="gramEnd"/>
      <w:r w:rsidRPr="00CD3502">
        <w:rPr>
          <w:rFonts w:ascii="Times New Roman" w:hAnsi="Times New Roman" w:cs="Times New Roman"/>
        </w:rPr>
        <w:t xml:space="preserve"> the most </w:t>
      </w:r>
      <w:r>
        <w:rPr>
          <w:rFonts w:ascii="Times New Roman" w:hAnsi="Times New Roman" w:cs="Times New Roman"/>
        </w:rPr>
        <w:t xml:space="preserve">important, </w:t>
      </w:r>
      <w:r w:rsidRPr="00CD3502">
        <w:rPr>
          <w:rFonts w:ascii="Times New Roman" w:hAnsi="Times New Roman" w:cs="Times New Roman"/>
        </w:rPr>
        <w:t>it accepts scale, rotation, and position parameters and calculates the complete transformation matrix. This function is called before drawing every object, eliminating code duplication.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D3502">
        <w:rPr>
          <w:rFonts w:ascii="Times New Roman" w:hAnsi="Times New Roman" w:cs="Times New Roman"/>
        </w:rPr>
        <w:t>SetShaderTexture</w:t>
      </w:r>
      <w:proofErr w:type="spellEnd"/>
      <w:proofErr w:type="gramEnd"/>
      <w:r w:rsidRPr="00CD3502">
        <w:rPr>
          <w:rFonts w:ascii="Times New Roman" w:hAnsi="Times New Roman" w:cs="Times New Roman"/>
        </w:rPr>
        <w:t xml:space="preserve">() simplifies texture application by accepting a texture tag and automatically finding and binding it. Instead of tracking texture IDs manually, I just call </w:t>
      </w:r>
      <w:proofErr w:type="spellStart"/>
      <w:r w:rsidRPr="00CD3502">
        <w:rPr>
          <w:rFonts w:ascii="Times New Roman" w:hAnsi="Times New Roman" w:cs="Times New Roman"/>
        </w:rPr>
        <w:t>SetShaderTexture</w:t>
      </w:r>
      <w:proofErr w:type="spellEnd"/>
      <w:r w:rsidRPr="00CD3502">
        <w:rPr>
          <w:rFonts w:ascii="Times New Roman" w:hAnsi="Times New Roman" w:cs="Times New Roman"/>
        </w:rPr>
        <w:t xml:space="preserve">("wood") or </w:t>
      </w:r>
      <w:proofErr w:type="spellStart"/>
      <w:r w:rsidRPr="00CD3502">
        <w:rPr>
          <w:rFonts w:ascii="Times New Roman" w:hAnsi="Times New Roman" w:cs="Times New Roman"/>
        </w:rPr>
        <w:t>SetShaderTexture</w:t>
      </w:r>
      <w:proofErr w:type="spellEnd"/>
      <w:r w:rsidRPr="00CD3502">
        <w:rPr>
          <w:rFonts w:ascii="Times New Roman" w:hAnsi="Times New Roman" w:cs="Times New Roman"/>
        </w:rPr>
        <w:t>("fabric").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D3502">
        <w:rPr>
          <w:rFonts w:ascii="Times New Roman" w:hAnsi="Times New Roman" w:cs="Times New Roman"/>
        </w:rPr>
        <w:t>SetShaderMaterial</w:t>
      </w:r>
      <w:proofErr w:type="spellEnd"/>
      <w:proofErr w:type="gramEnd"/>
      <w:r w:rsidRPr="00CD3502">
        <w:rPr>
          <w:rFonts w:ascii="Times New Roman" w:hAnsi="Times New Roman" w:cs="Times New Roman"/>
        </w:rPr>
        <w:t>() works similarly for materials, accepting a tag and applying diffuse color, specular color, and shininess to the shader. This ensures materials are applied consistently.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D3502">
        <w:rPr>
          <w:rFonts w:ascii="Times New Roman" w:hAnsi="Times New Roman" w:cs="Times New Roman"/>
        </w:rPr>
        <w:t>DefineObjectMaterials</w:t>
      </w:r>
      <w:proofErr w:type="spellEnd"/>
      <w:proofErr w:type="gramEnd"/>
      <w:r w:rsidRPr="00CD3502">
        <w:rPr>
          <w:rFonts w:ascii="Times New Roman" w:hAnsi="Times New Roman" w:cs="Times New Roman"/>
        </w:rPr>
        <w:t>() centralizes all material definitions in one place. Each material is defined once with properties and a descriptive tag. This makes materials reusable across objects.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D3502">
        <w:rPr>
          <w:rFonts w:ascii="Times New Roman" w:hAnsi="Times New Roman" w:cs="Times New Roman"/>
        </w:rPr>
        <w:t>SetupSceneLights</w:t>
      </w:r>
      <w:proofErr w:type="spellEnd"/>
      <w:proofErr w:type="gramEnd"/>
      <w:r w:rsidRPr="00CD3502">
        <w:rPr>
          <w:rFonts w:ascii="Times New Roman" w:hAnsi="Times New Roman" w:cs="Times New Roman"/>
        </w:rPr>
        <w:t>() handles all lighting configuration. By isolating lighting setup, I can adjust the scene's mood without modifying rendering code.</w:t>
      </w:r>
    </w:p>
    <w:p w14:paraId="0911A503" w14:textId="77777777" w:rsidR="00CD3502" w:rsidRPr="00CD3502" w:rsidRDefault="00CD3502" w:rsidP="00CD3502">
      <w:pPr>
        <w:spacing w:line="480" w:lineRule="auto"/>
        <w:ind w:firstLine="720"/>
        <w:rPr>
          <w:rFonts w:ascii="Times New Roman" w:hAnsi="Times New Roman" w:cs="Times New Roman"/>
        </w:rPr>
      </w:pPr>
      <w:r w:rsidRPr="00CD3502">
        <w:rPr>
          <w:rFonts w:ascii="Times New Roman" w:hAnsi="Times New Roman" w:cs="Times New Roman"/>
        </w:rPr>
        <w:t>These functions create clean, maintainable code. The rendering code becomes high-level function calls that clearly express intent: set transformations, apply texture, apply material, draw mesh. This makes debugging easier and allows quick modifications.</w:t>
      </w:r>
    </w:p>
    <w:p w14:paraId="04F42668" w14:textId="77777777" w:rsidR="00175F4B" w:rsidRDefault="00175F4B"/>
    <w:sectPr w:rsidR="00175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02"/>
    <w:rsid w:val="00023669"/>
    <w:rsid w:val="00175F4B"/>
    <w:rsid w:val="00CD3502"/>
    <w:rsid w:val="00E6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F77FC"/>
  <w15:chartTrackingRefBased/>
  <w15:docId w15:val="{4F5ECE97-440A-48BB-BE56-669A366A8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486</Words>
  <Characters>2772</Characters>
  <Application>Microsoft Office Word</Application>
  <DocSecurity>0</DocSecurity>
  <Lines>23</Lines>
  <Paragraphs>6</Paragraphs>
  <ScaleCrop>false</ScaleCrop>
  <Company>Amazon</Company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Jeremy</dc:creator>
  <cp:keywords/>
  <dc:description/>
  <cp:lastModifiedBy>White, Jeremy</cp:lastModifiedBy>
  <cp:revision>1</cp:revision>
  <dcterms:created xsi:type="dcterms:W3CDTF">2026-02-24T01:10:00Z</dcterms:created>
  <dcterms:modified xsi:type="dcterms:W3CDTF">2026-02-24T01:16:00Z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2026-02-24T01:16:30Z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6d449440-0feb-49f4-8e82-7fd0be8bb43f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