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pPr>
      <w:r>
        <w:rPr>
          <w:rFonts w:ascii="Aptos Display" w:hAnsi="Aptos Display"/>
          <w:b/>
          <w:color w:val="C98910"/>
          <w:sz w:val="24"/>
        </w:rPr>
        <w:t>SOLEN</w:t>
      </w:r>
    </w:p>
    <w:p>
      <w:pPr>
        <w:pStyle w:val="Title"/>
      </w:pPr>
      <w:r>
        <w:t>Solen Whitepaper</w:t>
      </w:r>
    </w:p>
    <w:p>
      <w:pPr>
        <w:spacing w:after="200"/>
      </w:pPr>
      <w:r>
        <w:rPr>
          <w:i/>
          <w:color w:val="606060"/>
          <w:sz w:val="26"/>
        </w:rPr>
        <w:t>Toward an internet-native settlement ecosystem that hides blockchain complexity without sacrificing decentralization.</w:t>
      </w:r>
    </w:p>
    <w:p>
      <w:pPr>
        <w:pStyle w:val="Subtitle"/>
        <w:spacing w:after="360"/>
      </w:pPr>
      <w:r>
        <w:t>A proposal for a modular settlement network designed for native rollups, programmable accounts, bounded privacy, and intent-aware execution.</w:t>
      </w:r>
    </w:p>
    <w:tbl>
      <w:tblPr>
        <w:tblW w:type="auto" w:w="0"/>
        <w:jc w:val="left"/>
        <w:tblLayout w:type="fixed"/>
        <w:tblLook w:firstColumn="1" w:firstRow="1" w:lastColumn="0" w:lastRow="0" w:noHBand="0" w:noVBand="1" w:val="04A0"/>
      </w:tblPr>
      <w:tblGrid>
        <w:gridCol w:w="4968"/>
        <w:gridCol w:w="4968"/>
      </w:tblGrid>
      <w:tr>
        <w:tc>
          <w:tcPr>
            <w:tcW w:type="dxa" w:w="2232"/>
            <w:tcMar>
              <w:top w:w="100" w:type="dxa"/>
              <w:start w:w="120" w:type="dxa"/>
              <w:bottom w:w="100" w:type="dxa"/>
              <w:end w:w="120" w:type="dxa"/>
            </w:tcMar>
            <w:vAlign w:val="center"/>
            <w:shd w:fill="F2E9D2"/>
          </w:tcPr>
          <w:p>
            <w:r>
              <w:rPr>
                <w:b/>
              </w:rPr>
              <w:t>Version</w:t>
            </w:r>
          </w:p>
        </w:tc>
        <w:tc>
          <w:tcPr>
            <w:tcW w:type="dxa" w:w="6840"/>
            <w:tcMar>
              <w:top w:w="100" w:type="dxa"/>
              <w:start w:w="120" w:type="dxa"/>
              <w:bottom w:w="100" w:type="dxa"/>
              <w:end w:w="120" w:type="dxa"/>
            </w:tcMar>
            <w:vAlign w:val="center"/>
          </w:tcPr>
          <w:p>
            <w:r>
              <w:t>Version 0.1 - March 29, 2026</w:t>
            </w:r>
          </w:p>
        </w:tc>
      </w:tr>
      <w:tr>
        <w:tc>
          <w:tcPr>
            <w:tcW w:type="dxa" w:w="2232"/>
            <w:tcMar>
              <w:top w:w="100" w:type="dxa"/>
              <w:start w:w="120" w:type="dxa"/>
              <w:bottom w:w="100" w:type="dxa"/>
              <w:end w:w="120" w:type="dxa"/>
            </w:tcMar>
            <w:vAlign w:val="center"/>
            <w:shd w:fill="F2E9D2"/>
          </w:tcPr>
          <w:p>
            <w:r>
              <w:rPr>
                <w:b/>
              </w:rPr>
              <w:t>Status</w:t>
            </w:r>
          </w:p>
        </w:tc>
        <w:tc>
          <w:tcPr>
            <w:tcW w:type="dxa" w:w="6840"/>
            <w:tcMar>
              <w:top w:w="100" w:type="dxa"/>
              <w:start w:w="120" w:type="dxa"/>
              <w:bottom w:w="100" w:type="dxa"/>
              <w:end w:w="120" w:type="dxa"/>
            </w:tcMar>
            <w:vAlign w:val="center"/>
          </w:tcPr>
          <w:p>
            <w:r>
              <w:t>Design proposal for implementation</w:t>
            </w:r>
          </w:p>
        </w:tc>
      </w:tr>
      <w:tr>
        <w:tc>
          <w:tcPr>
            <w:tcW w:type="dxa" w:w="2232"/>
            <w:tcMar>
              <w:top w:w="100" w:type="dxa"/>
              <w:start w:w="120" w:type="dxa"/>
              <w:bottom w:w="100" w:type="dxa"/>
              <w:end w:w="120" w:type="dxa"/>
            </w:tcMar>
            <w:vAlign w:val="center"/>
            <w:shd w:fill="F2E9D2"/>
          </w:tcPr>
          <w:p>
            <w:r>
              <w:rPr>
                <w:b/>
              </w:rPr>
              <w:t>Audience</w:t>
            </w:r>
          </w:p>
        </w:tc>
        <w:tc>
          <w:tcPr>
            <w:tcW w:type="dxa" w:w="6840"/>
            <w:tcMar>
              <w:top w:w="100" w:type="dxa"/>
              <w:start w:w="120" w:type="dxa"/>
              <w:bottom w:w="100" w:type="dxa"/>
              <w:end w:w="120" w:type="dxa"/>
            </w:tcMar>
            <w:vAlign w:val="center"/>
          </w:tcPr>
          <w:p>
            <w:r>
              <w:t>Protocol engineers, client developers, application teams, security reviewers</w:t>
            </w:r>
          </w:p>
        </w:tc>
      </w:tr>
      <w:tr>
        <w:tc>
          <w:tcPr>
            <w:tcW w:type="dxa" w:w="2232"/>
            <w:tcMar>
              <w:top w:w="100" w:type="dxa"/>
              <w:start w:w="120" w:type="dxa"/>
              <w:bottom w:w="100" w:type="dxa"/>
              <w:end w:w="120" w:type="dxa"/>
            </w:tcMar>
            <w:vAlign w:val="center"/>
            <w:shd w:fill="F2E9D2"/>
          </w:tcPr>
          <w:p>
            <w:r>
              <w:rPr>
                <w:b/>
              </w:rPr>
              <w:t>Scope</w:t>
            </w:r>
          </w:p>
        </w:tc>
        <w:tc>
          <w:tcPr>
            <w:tcW w:type="dxa" w:w="6840"/>
            <w:tcMar>
              <w:top w:w="100" w:type="dxa"/>
              <w:start w:w="120" w:type="dxa"/>
              <w:bottom w:w="100" w:type="dxa"/>
              <w:end w:w="120" w:type="dxa"/>
            </w:tcMar>
            <w:vAlign w:val="center"/>
          </w:tcPr>
          <w:p>
            <w:r>
              <w:t>Base layer, rollups, accounts, privacy, governance, node software, SDKs, operations</w:t>
            </w:r>
          </w:p>
        </w:tc>
      </w:tr>
    </w:tbl>
    <w:p/>
    <w:p>
      <w:r>
        <w:rPr>
          <w:color w:val="606060"/>
          <w:sz w:val="20"/>
        </w:rPr>
        <w:t>Version 0.1 - March 29, 2026</w:t>
      </w:r>
    </w:p>
    <w:p>
      <w:r>
        <w:br w:type="page"/>
      </w:r>
    </w:p>
    <w:p>
      <w:pPr>
        <w:pStyle w:val="Heading1"/>
      </w:pPr>
      <w:r>
        <w:t>Contents</w:t>
      </w:r>
    </w:p>
    <w:p>
      <w:pPr>
        <w:tabs>
          <w:tab w:pos="8928" w:val="right"/>
        </w:tabs>
      </w:pPr>
      <w:r>
        <w:rPr>
          <w:rFonts w:ascii="Aptos" w:hAnsi="Aptos"/>
          <w:sz w:val="21"/>
        </w:rPr>
        <w:t>Abstract</w:t>
      </w:r>
      <w:r>
        <w:tab/>
        <w:t>3</w:t>
      </w:r>
    </w:p>
    <w:p>
      <w:pPr>
        <w:tabs>
          <w:tab w:pos="8928" w:val="right"/>
        </w:tabs>
      </w:pPr>
      <w:r>
        <w:rPr>
          <w:rFonts w:ascii="Aptos" w:hAnsi="Aptos"/>
          <w:sz w:val="21"/>
        </w:rPr>
        <w:t>1. Motivation</w:t>
      </w:r>
      <w:r>
        <w:tab/>
        <w:t>3</w:t>
      </w:r>
    </w:p>
    <w:p>
      <w:pPr>
        <w:tabs>
          <w:tab w:pos="8928" w:val="right"/>
        </w:tabs>
      </w:pPr>
      <w:r>
        <w:rPr>
          <w:rFonts w:ascii="Aptos" w:hAnsi="Aptos"/>
          <w:sz w:val="21"/>
        </w:rPr>
        <w:t>2. Design Principles</w:t>
      </w:r>
      <w:r>
        <w:tab/>
        <w:t>3</w:t>
      </w:r>
    </w:p>
    <w:p>
      <w:pPr>
        <w:tabs>
          <w:tab w:pos="8928" w:val="right"/>
        </w:tabs>
      </w:pPr>
      <w:r>
        <w:rPr>
          <w:rFonts w:ascii="Aptos" w:hAnsi="Aptos"/>
          <w:sz w:val="21"/>
        </w:rPr>
        <w:t>3. System Overview</w:t>
      </w:r>
      <w:r>
        <w:tab/>
        <w:t>4</w:t>
      </w:r>
    </w:p>
    <w:p>
      <w:pPr>
        <w:tabs>
          <w:tab w:pos="8928" w:val="right"/>
        </w:tabs>
      </w:pPr>
      <w:r>
        <w:rPr>
          <w:rFonts w:ascii="Aptos" w:hAnsi="Aptos"/>
          <w:sz w:val="21"/>
        </w:rPr>
        <w:t>4. Settlement Layer</w:t>
      </w:r>
      <w:r>
        <w:tab/>
        <w:t>4</w:t>
      </w:r>
    </w:p>
    <w:p>
      <w:pPr>
        <w:tabs>
          <w:tab w:pos="8928" w:val="right"/>
        </w:tabs>
      </w:pPr>
      <w:r>
        <w:rPr>
          <w:rFonts w:ascii="Aptos" w:hAnsi="Aptos"/>
          <w:sz w:val="21"/>
        </w:rPr>
        <w:t>5. Native Rollups and Execution Domains</w:t>
      </w:r>
      <w:r>
        <w:tab/>
        <w:t>4</w:t>
      </w:r>
    </w:p>
    <w:p>
      <w:pPr>
        <w:tabs>
          <w:tab w:pos="8928" w:val="right"/>
        </w:tabs>
      </w:pPr>
      <w:r>
        <w:rPr>
          <w:rFonts w:ascii="Aptos" w:hAnsi="Aptos"/>
          <w:sz w:val="21"/>
        </w:rPr>
        <w:t>6. Accounts and Wallet UX</w:t>
      </w:r>
      <w:r>
        <w:tab/>
        <w:t>5</w:t>
      </w:r>
    </w:p>
    <w:p>
      <w:pPr>
        <w:tabs>
          <w:tab w:pos="8928" w:val="right"/>
        </w:tabs>
      </w:pPr>
      <w:r>
        <w:rPr>
          <w:rFonts w:ascii="Aptos" w:hAnsi="Aptos"/>
          <w:sz w:val="21"/>
        </w:rPr>
        <w:t>7. Privacy and Verifiable Identity</w:t>
      </w:r>
      <w:r>
        <w:tab/>
        <w:t>5</w:t>
      </w:r>
    </w:p>
    <w:p>
      <w:pPr>
        <w:tabs>
          <w:tab w:pos="8928" w:val="right"/>
        </w:tabs>
      </w:pPr>
      <w:r>
        <w:rPr>
          <w:rFonts w:ascii="Aptos" w:hAnsi="Aptos"/>
          <w:sz w:val="21"/>
        </w:rPr>
        <w:t>8. Transaction Flow and MEV</w:t>
      </w:r>
      <w:r>
        <w:tab/>
        <w:t>6</w:t>
      </w:r>
    </w:p>
    <w:p>
      <w:pPr>
        <w:tabs>
          <w:tab w:pos="8928" w:val="right"/>
        </w:tabs>
      </w:pPr>
      <w:r>
        <w:rPr>
          <w:rFonts w:ascii="Aptos" w:hAnsi="Aptos"/>
          <w:sz w:val="21"/>
        </w:rPr>
        <w:t>9. Governance and Upgrades</w:t>
      </w:r>
      <w:r>
        <w:tab/>
        <w:t>6</w:t>
      </w:r>
    </w:p>
    <w:p>
      <w:pPr>
        <w:tabs>
          <w:tab w:pos="8928" w:val="right"/>
        </w:tabs>
      </w:pPr>
      <w:r>
        <w:rPr>
          <w:rFonts w:ascii="Aptos" w:hAnsi="Aptos"/>
          <w:sz w:val="21"/>
        </w:rPr>
        <w:t>10. Token and Fee Philosophy</w:t>
      </w:r>
      <w:r>
        <w:tab/>
        <w:t>6</w:t>
      </w:r>
    </w:p>
    <w:p>
      <w:pPr>
        <w:tabs>
          <w:tab w:pos="8928" w:val="right"/>
        </w:tabs>
      </w:pPr>
      <w:r>
        <w:rPr>
          <w:rFonts w:ascii="Aptos" w:hAnsi="Aptos"/>
          <w:sz w:val="21"/>
        </w:rPr>
        <w:t>11. Security Model</w:t>
      </w:r>
      <w:r>
        <w:tab/>
        <w:t>6</w:t>
      </w:r>
    </w:p>
    <w:p>
      <w:pPr>
        <w:tabs>
          <w:tab w:pos="8928" w:val="right"/>
        </w:tabs>
      </w:pPr>
      <w:r>
        <w:rPr>
          <w:rFonts w:ascii="Aptos" w:hAnsi="Aptos"/>
          <w:sz w:val="21"/>
        </w:rPr>
        <w:t>12. Roadmap</w:t>
      </w:r>
      <w:r>
        <w:tab/>
        <w:t>6</w:t>
      </w:r>
    </w:p>
    <w:p>
      <w:pPr>
        <w:tabs>
          <w:tab w:pos="8928" w:val="right"/>
        </w:tabs>
      </w:pPr>
      <w:r>
        <w:rPr>
          <w:rFonts w:ascii="Aptos" w:hAnsi="Aptos"/>
          <w:sz w:val="21"/>
        </w:rPr>
        <w:t>13. Conclusion</w:t>
      </w:r>
      <w:r>
        <w:tab/>
        <w:t>7</w:t>
      </w:r>
    </w:p>
    <w:p>
      <w:r>
        <w:br w:type="page"/>
      </w:r>
    </w:p>
    <w:p>
      <w:pPr>
        <w:pStyle w:val="Heading1"/>
      </w:pPr>
      <w:r>
        <w:t>Abstract</w:t>
      </w:r>
    </w:p>
    <w:p>
      <w:r>
        <w:t>Solen is a proposed blockchain architecture that narrows the responsibilities of the base layer and treats execution domains as first-class components from inception. The design responds to three lessons from prior smart-contract platforms: monolithic execution does not scale cleanly, user-facing security should not depend on externally owned accounts and seed-phrase fragility, and transaction ordering must be treated as a core protocol problem rather than an external market. Solen therefore combines a minimal settlement chain, native rollups, smart accounts by default, privacy-capable proof interfaces, and intent-oriented transaction flow.</w:t>
      </w:r>
    </w:p>
    <w:p>
      <w:pPr>
        <w:pStyle w:val="Heading1"/>
      </w:pPr>
      <w:r>
        <w:t>1. Motivation</w:t>
      </w:r>
    </w:p>
    <w:p>
      <w:r>
        <w:t>General-purpose blockchains have proven that open digital settlement, composable assets, and programmable finance are possible. They have also exposed recurring structural problems: fragmented scaling, poor wallet UX, bridge risk, state growth, and extractive transaction ordering. Solen begins from the position that these failures are architectural, not incidental. The system is designed to preserve credible neutrality and open participation while reorganizing responsibilities across clearer layers.</w:t>
      </w:r>
    </w:p>
    <w:p>
      <w:pPr>
        <w:pStyle w:val="ListBullet"/>
      </w:pPr>
      <w:r>
        <w:t>The base layer should specialize in consensus, settlement, data publication, and system-level verification.</w:t>
      </w:r>
    </w:p>
    <w:p>
      <w:pPr>
        <w:pStyle w:val="ListBullet"/>
      </w:pPr>
      <w:r>
        <w:t>Execution should occur mainly in rollups or specialized domains tailored to different workloads.</w:t>
      </w:r>
    </w:p>
    <w:p>
      <w:pPr>
        <w:pStyle w:val="ListBullet"/>
      </w:pPr>
      <w:r>
        <w:t>Accounts should be programmable from day one so recovery, sponsorship, policy, and passkey auth are native.</w:t>
      </w:r>
    </w:p>
    <w:p>
      <w:pPr>
        <w:pStyle w:val="ListBullet"/>
      </w:pPr>
      <w:r>
        <w:t>Ordering value should be constrained and, where possible, socialized instead of leaking entirely to private intermediaries.</w:t>
      </w:r>
    </w:p>
    <w:p>
      <w:pPr>
        <w:pStyle w:val="Heading1"/>
      </w:pPr>
      <w:r>
        <w:t>2. Design Principles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EFDFAE"/>
            <w:tcMar>
              <w:top w:w="120" w:type="dxa"/>
              <w:start w:w="100" w:type="dxa"/>
              <w:bottom w:w="120" w:type="dxa"/>
              <w:end w:w="100" w:type="dxa"/>
            </w:tcMar>
            <w:vAlign w:val="center"/>
          </w:tcPr>
          <w:p>
            <w:pPr>
              <w:jc w:val="center"/>
            </w:pPr>
            <w:r>
              <w:rPr>
                <w:b/>
              </w:rPr>
              <w:t>Principle</w:t>
            </w:r>
          </w:p>
        </w:tc>
        <w:tc>
          <w:tcPr>
            <w:tcW w:type="dxa" w:w="7200"/>
            <w:shd w:fill="EFDFAE"/>
            <w:tcMar>
              <w:top w:w="120" w:type="dxa"/>
              <w:start w:w="100" w:type="dxa"/>
              <w:bottom w:w="120" w:type="dxa"/>
              <w:end w:w="100" w:type="dxa"/>
            </w:tcMar>
            <w:vAlign w:val="center"/>
          </w:tcPr>
          <w:p>
            <w:pPr>
              <w:jc w:val="center"/>
            </w:pPr>
            <w:r>
              <w:rPr>
                <w:b/>
              </w:rPr>
              <w:t>Implication for Solen</w:t>
            </w:r>
          </w:p>
        </w:tc>
      </w:tr>
      <w:tr>
        <w:tc>
          <w:tcPr>
            <w:tcW w:type="dxa" w:w="2304"/>
            <w:tcMar>
              <w:top w:w="100" w:type="dxa"/>
              <w:start w:w="100" w:type="dxa"/>
              <w:bottom w:w="100" w:type="dxa"/>
              <w:end w:w="100" w:type="dxa"/>
            </w:tcMar>
            <w:vAlign w:val="center"/>
          </w:tcPr>
          <w:p>
            <w:pPr>
              <w:jc w:val="center"/>
            </w:pPr>
            <w:r>
              <w:t>Minimal base layer</w:t>
            </w:r>
          </w:p>
        </w:tc>
        <w:tc>
          <w:tcPr>
            <w:tcW w:type="dxa" w:w="7200"/>
            <w:tcMar>
              <w:top w:w="100" w:type="dxa"/>
              <w:start w:w="100" w:type="dxa"/>
              <w:bottom w:w="100" w:type="dxa"/>
              <w:end w:w="100" w:type="dxa"/>
            </w:tcMar>
            <w:vAlign w:val="center"/>
          </w:tcPr>
          <w:p>
            <w:pPr>
              <w:jc w:val="left"/>
            </w:pPr>
            <w:r>
              <w:t>L1 avoids carrying the full burden of general-purpose application execution.</w:t>
            </w:r>
          </w:p>
        </w:tc>
      </w:tr>
      <w:tr>
        <w:tc>
          <w:tcPr>
            <w:tcW w:type="dxa" w:w="2304"/>
            <w:tcMar>
              <w:top w:w="100" w:type="dxa"/>
              <w:start w:w="100" w:type="dxa"/>
              <w:bottom w:w="100" w:type="dxa"/>
              <w:end w:w="100" w:type="dxa"/>
            </w:tcMar>
            <w:vAlign w:val="center"/>
          </w:tcPr>
          <w:p>
            <w:pPr>
              <w:jc w:val="center"/>
            </w:pPr>
            <w:r>
              <w:t>Native modularity</w:t>
            </w:r>
          </w:p>
        </w:tc>
        <w:tc>
          <w:tcPr>
            <w:tcW w:type="dxa" w:w="7200"/>
            <w:tcMar>
              <w:top w:w="100" w:type="dxa"/>
              <w:start w:w="100" w:type="dxa"/>
              <w:bottom w:w="100" w:type="dxa"/>
              <w:end w:w="100" w:type="dxa"/>
            </w:tcMar>
            <w:vAlign w:val="center"/>
          </w:tcPr>
          <w:p>
            <w:pPr>
              <w:jc w:val="left"/>
            </w:pPr>
            <w:r>
              <w:t>Rollups, proofs, and messaging are protocol-native, not afterthought integrations.</w:t>
            </w:r>
          </w:p>
        </w:tc>
      </w:tr>
      <w:tr>
        <w:tc>
          <w:tcPr>
            <w:tcW w:type="dxa" w:w="2304"/>
            <w:tcMar>
              <w:top w:w="100" w:type="dxa"/>
              <w:start w:w="100" w:type="dxa"/>
              <w:bottom w:w="100" w:type="dxa"/>
              <w:end w:w="100" w:type="dxa"/>
            </w:tcMar>
            <w:vAlign w:val="center"/>
          </w:tcPr>
          <w:p>
            <w:pPr>
              <w:jc w:val="left"/>
            </w:pPr>
            <w:r>
              <w:t>User safety by default</w:t>
            </w:r>
          </w:p>
        </w:tc>
        <w:tc>
          <w:tcPr>
            <w:tcW w:type="dxa" w:w="7200"/>
            <w:tcMar>
              <w:top w:w="100" w:type="dxa"/>
              <w:start w:w="100" w:type="dxa"/>
              <w:bottom w:w="100" w:type="dxa"/>
              <w:end w:w="100" w:type="dxa"/>
            </w:tcMar>
            <w:vAlign w:val="center"/>
          </w:tcPr>
          <w:p>
            <w:pPr>
              <w:jc w:val="left"/>
            </w:pPr>
            <w:r>
              <w:t>Every user account is a smart account with recoverability and clear policy surfaces.</w:t>
            </w:r>
          </w:p>
        </w:tc>
      </w:tr>
      <w:tr>
        <w:tc>
          <w:tcPr>
            <w:tcW w:type="dxa" w:w="2304"/>
            <w:tcMar>
              <w:top w:w="100" w:type="dxa"/>
              <w:start w:w="100" w:type="dxa"/>
              <w:bottom w:w="100" w:type="dxa"/>
              <w:end w:w="100" w:type="dxa"/>
            </w:tcMar>
            <w:vAlign w:val="center"/>
          </w:tcPr>
          <w:p>
            <w:pPr>
              <w:jc w:val="center"/>
            </w:pPr>
            <w:r>
              <w:t>Bounded privacy</w:t>
            </w:r>
          </w:p>
        </w:tc>
        <w:tc>
          <w:tcPr>
            <w:tcW w:type="dxa" w:w="7200"/>
            <w:tcMar>
              <w:top w:w="100" w:type="dxa"/>
              <w:start w:w="100" w:type="dxa"/>
              <w:bottom w:w="100" w:type="dxa"/>
              <w:end w:w="100" w:type="dxa"/>
            </w:tcMar>
            <w:vAlign w:val="center"/>
          </w:tcPr>
          <w:p>
            <w:pPr>
              <w:jc w:val="left"/>
            </w:pPr>
            <w:r>
              <w:t>Users and applications can prove facts without revealing all underlying data.</w:t>
            </w:r>
          </w:p>
        </w:tc>
      </w:tr>
      <w:tr>
        <w:tc>
          <w:tcPr>
            <w:tcW w:type="dxa" w:w="2304"/>
            <w:tcMar>
              <w:top w:w="100" w:type="dxa"/>
              <w:start w:w="100" w:type="dxa"/>
              <w:bottom w:w="100" w:type="dxa"/>
              <w:end w:w="100" w:type="dxa"/>
            </w:tcMar>
            <w:vAlign w:val="center"/>
          </w:tcPr>
          <w:p>
            <w:pPr>
              <w:jc w:val="left"/>
            </w:pPr>
            <w:r>
              <w:t>Decentralization over vanity throughput</w:t>
            </w:r>
          </w:p>
        </w:tc>
        <w:tc>
          <w:tcPr>
            <w:tcW w:type="dxa" w:w="7200"/>
            <w:tcMar>
              <w:top w:w="100" w:type="dxa"/>
              <w:start w:w="100" w:type="dxa"/>
              <w:bottom w:w="100" w:type="dxa"/>
              <w:end w:w="100" w:type="dxa"/>
            </w:tcMar>
            <w:vAlign w:val="center"/>
          </w:tcPr>
          <w:p>
            <w:pPr>
              <w:jc w:val="left"/>
            </w:pPr>
            <w:r>
              <w:t>Solen favors credible settlement and scalable domain design over simply maximizing a single chain benchmark.</w:t>
            </w:r>
          </w:p>
        </w:tc>
      </w:tr>
    </w:tbl>
    <w:p/>
    <w:p>
      <w:pPr>
        <w:pStyle w:val="Heading1"/>
      </w:pPr>
      <w:r>
        <w:t>3. System Overview</w:t>
      </w:r>
    </w:p>
    <w:p>
      <w:r>
        <w:t>Solen consists of a settlement layer and one or more execution domains. The settlement layer finalizes blocks, maintains native assets, verifies domain commitments, manages stake and governance, and serves as the canonical root of truth. Execution domains publish compressed transaction data or commitments, prove their state transitions using approved mechanisms, and interoperate through standardized message receipts. This architecture allows application-specific flexibility while preserving a shared settlement surface.</w:t>
      </w:r>
    </w:p>
    <w:tbl>
      <w:tblPr>
        <w:tblW w:type="auto" w:w="0"/>
        <w:jc w:val="center"/>
        <w:tblLook w:firstColumn="1" w:firstRow="1" w:lastColumn="0" w:lastRow="0" w:noHBand="0" w:noVBand="1" w:val="04A0"/>
      </w:tblPr>
      <w:tblGrid>
        <w:gridCol w:w="9936"/>
      </w:tblGrid>
      <w:tr>
        <w:tc>
          <w:tcPr>
            <w:tcW w:type="dxa" w:w="9936"/>
            <w:shd w:fill="FBF7EC"/>
            <w:tcMar>
              <w:top w:w="120" w:type="dxa"/>
              <w:start w:w="180" w:type="dxa"/>
              <w:bottom w:w="120" w:type="dxa"/>
              <w:end w:w="180" w:type="dxa"/>
            </w:tcMar>
          </w:tcPr>
          <w:p>
            <w:r>
              <w:rPr>
                <w:b/>
                <w:color w:val="C98910"/>
                <w:sz w:val="21"/>
              </w:rPr>
              <w:t>Core architectural claim</w:t>
              <w:br/>
            </w:r>
            <w:r>
              <w:rPr>
                <w:sz w:val="20"/>
              </w:rPr>
              <w:t>Users should feel like they are using one ecosystem, even when their activity spans multiple execution domains.</w:t>
            </w:r>
          </w:p>
        </w:tc>
      </w:tr>
    </w:tbl>
    <w:p/>
    <w:p>
      <w:pPr>
        <w:pStyle w:val="Heading1"/>
      </w:pPr>
      <w:r>
        <w:t>4. Settlement Layer</w:t>
      </w:r>
    </w:p>
    <w:p>
      <w:r>
        <w:t>The Solen settlement layer is intentionally small. Its native functionality covers validator management, consensus finality, stake accounting, proof verification, canonical bridge management, fee settlement, treasury logic, and governance system contracts. L1 is not optimized for rich end-user applications; instead, it is optimized for correctness, verifiability, and cross-domain coordination.</w:t>
      </w:r>
    </w:p>
    <w:p>
      <w:pPr>
        <w:pStyle w:val="ListBullet"/>
      </w:pPr>
      <w:r>
        <w:t>Deterministic finality and light-client-friendly proofs.</w:t>
      </w:r>
    </w:p>
    <w:p>
      <w:pPr>
        <w:pStyle w:val="ListBullet"/>
      </w:pPr>
      <w:r>
        <w:t>Limited, auditable system contracts rather than broad arbitrary application complexity.</w:t>
      </w:r>
    </w:p>
    <w:p>
      <w:pPr>
        <w:pStyle w:val="ListBullet"/>
      </w:pPr>
      <w:r>
        <w:t>A canonical registry of approved execution domains and proof systems.</w:t>
      </w:r>
    </w:p>
    <w:p>
      <w:pPr>
        <w:pStyle w:val="ListBullet"/>
      </w:pPr>
      <w:r>
        <w:t>Explicit event interfaces for bridges, receipts, and governance actions.</w:t>
      </w:r>
    </w:p>
    <w:p>
      <w:pPr>
        <w:pStyle w:val="Heading1"/>
      </w:pPr>
      <w:r>
        <w:t>5. Native Rollups and Execution Domains</w:t>
      </w:r>
    </w:p>
    <w:p>
      <w:r>
        <w:t>Solen assumes from inception that most execution occurs off the settlement layer. Each domain selects a virtual machine, proof system, data availability model, and sequencing policy, subject to protocol-level interface requirements. Domains communicate through canonical message receipts that include replay protection, timeout policy, and proof references. By standardizing these surfaces, Solen reduces fragmentation while allowing execution diversity.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fill="EFDFAE"/>
            <w:tcMar>
              <w:top w:w="120" w:type="dxa"/>
              <w:start w:w="100" w:type="dxa"/>
              <w:bottom w:w="120" w:type="dxa"/>
              <w:end w:w="100" w:type="dxa"/>
            </w:tcMar>
            <w:vAlign w:val="center"/>
          </w:tcPr>
          <w:p>
            <w:pPr>
              <w:jc w:val="center"/>
            </w:pPr>
            <w:r>
              <w:rPr>
                <w:b/>
              </w:rPr>
              <w:t>Domain concern</w:t>
            </w:r>
          </w:p>
        </w:tc>
        <w:tc>
          <w:tcPr>
            <w:tcW w:type="dxa" w:w="2880"/>
            <w:shd w:fill="EFDFAE"/>
            <w:tcMar>
              <w:top w:w="120" w:type="dxa"/>
              <w:start w:w="100" w:type="dxa"/>
              <w:bottom w:w="120" w:type="dxa"/>
              <w:end w:w="100" w:type="dxa"/>
            </w:tcMar>
            <w:vAlign w:val="center"/>
          </w:tcPr>
          <w:p>
            <w:pPr>
              <w:jc w:val="center"/>
            </w:pPr>
            <w:r>
              <w:rPr>
                <w:b/>
              </w:rPr>
              <w:t>Standardized by protocol</w:t>
            </w:r>
          </w:p>
        </w:tc>
        <w:tc>
          <w:tcPr>
            <w:tcW w:type="dxa" w:w="3888"/>
            <w:shd w:fill="EFDFAE"/>
            <w:tcMar>
              <w:top w:w="120" w:type="dxa"/>
              <w:start w:w="100" w:type="dxa"/>
              <w:bottom w:w="120" w:type="dxa"/>
              <w:end w:w="100" w:type="dxa"/>
            </w:tcMar>
            <w:vAlign w:val="center"/>
          </w:tcPr>
          <w:p>
            <w:pPr>
              <w:jc w:val="center"/>
            </w:pPr>
            <w:r>
              <w:rPr>
                <w:b/>
              </w:rPr>
              <w:t>Left to domain choice</w:t>
            </w:r>
          </w:p>
        </w:tc>
      </w:tr>
      <w:tr>
        <w:tc>
          <w:tcPr>
            <w:tcW w:type="dxa" w:w="2592"/>
            <w:tcMar>
              <w:top w:w="100" w:type="dxa"/>
              <w:start w:w="100" w:type="dxa"/>
              <w:bottom w:w="100" w:type="dxa"/>
              <w:end w:w="100" w:type="dxa"/>
            </w:tcMar>
            <w:vAlign w:val="center"/>
          </w:tcPr>
          <w:p>
            <w:pPr>
              <w:jc w:val="center"/>
            </w:pPr>
            <w:r>
              <w:t>State commitments</w:t>
            </w:r>
          </w:p>
        </w:tc>
        <w:tc>
          <w:tcPr>
            <w:tcW w:type="dxa" w:w="2880"/>
            <w:tcMar>
              <w:top w:w="100" w:type="dxa"/>
              <w:start w:w="100" w:type="dxa"/>
              <w:bottom w:w="100" w:type="dxa"/>
              <w:end w:w="100" w:type="dxa"/>
            </w:tcMar>
            <w:vAlign w:val="center"/>
          </w:tcPr>
          <w:p>
            <w:pPr>
              <w:jc w:val="center"/>
            </w:pPr>
            <w:r>
              <w:t>Yes</w:t>
            </w:r>
          </w:p>
        </w:tc>
        <w:tc>
          <w:tcPr>
            <w:tcW w:type="dxa" w:w="3888"/>
            <w:tcMar>
              <w:top w:w="100" w:type="dxa"/>
              <w:start w:w="100" w:type="dxa"/>
              <w:bottom w:w="100" w:type="dxa"/>
              <w:end w:w="100" w:type="dxa"/>
            </w:tcMar>
            <w:vAlign w:val="center"/>
          </w:tcPr>
          <w:p>
            <w:pPr>
              <w:jc w:val="left"/>
            </w:pPr>
            <w:r>
              <w:t>Commitment format within protocol bounds</w:t>
            </w:r>
          </w:p>
        </w:tc>
      </w:tr>
      <w:tr>
        <w:tc>
          <w:tcPr>
            <w:tcW w:type="dxa" w:w="2592"/>
            <w:tcMar>
              <w:top w:w="100" w:type="dxa"/>
              <w:start w:w="100" w:type="dxa"/>
              <w:bottom w:w="100" w:type="dxa"/>
              <w:end w:w="100" w:type="dxa"/>
            </w:tcMar>
            <w:vAlign w:val="center"/>
          </w:tcPr>
          <w:p>
            <w:pPr>
              <w:jc w:val="center"/>
            </w:pPr>
            <w:r>
              <w:t>Proof submission</w:t>
            </w:r>
          </w:p>
        </w:tc>
        <w:tc>
          <w:tcPr>
            <w:tcW w:type="dxa" w:w="2880"/>
            <w:tcMar>
              <w:top w:w="100" w:type="dxa"/>
              <w:start w:w="100" w:type="dxa"/>
              <w:bottom w:w="100" w:type="dxa"/>
              <w:end w:w="100" w:type="dxa"/>
            </w:tcMar>
            <w:vAlign w:val="center"/>
          </w:tcPr>
          <w:p>
            <w:pPr>
              <w:jc w:val="center"/>
            </w:pPr>
            <w:r>
              <w:t>Yes</w:t>
            </w:r>
          </w:p>
        </w:tc>
        <w:tc>
          <w:tcPr>
            <w:tcW w:type="dxa" w:w="3888"/>
            <w:tcMar>
              <w:top w:w="100" w:type="dxa"/>
              <w:start w:w="100" w:type="dxa"/>
              <w:bottom w:w="100" w:type="dxa"/>
              <w:end w:w="100" w:type="dxa"/>
            </w:tcMar>
            <w:vAlign w:val="center"/>
          </w:tcPr>
          <w:p>
            <w:pPr>
              <w:jc w:val="left"/>
            </w:pPr>
            <w:r>
              <w:t>Validity or fraud-proof implementation details</w:t>
            </w:r>
          </w:p>
        </w:tc>
      </w:tr>
      <w:tr>
        <w:tc>
          <w:tcPr>
            <w:tcW w:type="dxa" w:w="2592"/>
            <w:tcMar>
              <w:top w:w="100" w:type="dxa"/>
              <w:start w:w="100" w:type="dxa"/>
              <w:bottom w:w="100" w:type="dxa"/>
              <w:end w:w="100" w:type="dxa"/>
            </w:tcMar>
            <w:vAlign w:val="center"/>
          </w:tcPr>
          <w:p>
            <w:pPr>
              <w:jc w:val="center"/>
            </w:pPr>
            <w:r>
              <w:t>Virtual machine</w:t>
            </w:r>
          </w:p>
        </w:tc>
        <w:tc>
          <w:tcPr>
            <w:tcW w:type="dxa" w:w="2880"/>
            <w:tcMar>
              <w:top w:w="100" w:type="dxa"/>
              <w:start w:w="100" w:type="dxa"/>
              <w:bottom w:w="100" w:type="dxa"/>
              <w:end w:w="100" w:type="dxa"/>
            </w:tcMar>
            <w:vAlign w:val="center"/>
          </w:tcPr>
          <w:p>
            <w:pPr>
              <w:jc w:val="center"/>
            </w:pPr>
            <w:r>
              <w:t>Interface only</w:t>
            </w:r>
          </w:p>
        </w:tc>
        <w:tc>
          <w:tcPr>
            <w:tcW w:type="dxa" w:w="3888"/>
            <w:tcMar>
              <w:top w:w="100" w:type="dxa"/>
              <w:start w:w="100" w:type="dxa"/>
              <w:bottom w:w="100" w:type="dxa"/>
              <w:end w:w="100" w:type="dxa"/>
            </w:tcMar>
            <w:vAlign w:val="center"/>
          </w:tcPr>
          <w:p>
            <w:pPr>
              <w:jc w:val="left"/>
            </w:pPr>
            <w:r>
              <w:t>Actual execution runtime</w:t>
            </w:r>
          </w:p>
        </w:tc>
      </w:tr>
      <w:tr>
        <w:tc>
          <w:tcPr>
            <w:tcW w:type="dxa" w:w="2592"/>
            <w:tcMar>
              <w:top w:w="100" w:type="dxa"/>
              <w:start w:w="100" w:type="dxa"/>
              <w:bottom w:w="100" w:type="dxa"/>
              <w:end w:w="100" w:type="dxa"/>
            </w:tcMar>
            <w:vAlign w:val="center"/>
          </w:tcPr>
          <w:p>
            <w:pPr>
              <w:jc w:val="center"/>
            </w:pPr>
            <w:r>
              <w:t>Sequencing</w:t>
            </w:r>
          </w:p>
        </w:tc>
        <w:tc>
          <w:tcPr>
            <w:tcW w:type="dxa" w:w="2880"/>
            <w:tcMar>
              <w:top w:w="100" w:type="dxa"/>
              <w:start w:w="100" w:type="dxa"/>
              <w:bottom w:w="100" w:type="dxa"/>
              <w:end w:w="100" w:type="dxa"/>
            </w:tcMar>
            <w:vAlign w:val="center"/>
          </w:tcPr>
          <w:p>
            <w:pPr>
              <w:jc w:val="center"/>
            </w:pPr>
            <w:r>
              <w:t>Policy hooks</w:t>
            </w:r>
          </w:p>
        </w:tc>
        <w:tc>
          <w:tcPr>
            <w:tcW w:type="dxa" w:w="3888"/>
            <w:tcMar>
              <w:top w:w="100" w:type="dxa"/>
              <w:start w:w="100" w:type="dxa"/>
              <w:bottom w:w="100" w:type="dxa"/>
              <w:end w:w="100" w:type="dxa"/>
            </w:tcMar>
            <w:vAlign w:val="center"/>
          </w:tcPr>
          <w:p>
            <w:pPr>
              <w:jc w:val="left"/>
            </w:pPr>
            <w:r>
              <w:t>Centralized, shared, or decentralized design</w:t>
            </w:r>
          </w:p>
        </w:tc>
      </w:tr>
      <w:tr>
        <w:tc>
          <w:tcPr>
            <w:tcW w:type="dxa" w:w="2592"/>
            <w:tcMar>
              <w:top w:w="100" w:type="dxa"/>
              <w:start w:w="100" w:type="dxa"/>
              <w:bottom w:w="100" w:type="dxa"/>
              <w:end w:w="100" w:type="dxa"/>
            </w:tcMar>
            <w:vAlign w:val="center"/>
          </w:tcPr>
          <w:p>
            <w:pPr>
              <w:jc w:val="left"/>
            </w:pPr>
            <w:r>
              <w:t>User fee abstraction</w:t>
            </w:r>
          </w:p>
        </w:tc>
        <w:tc>
          <w:tcPr>
            <w:tcW w:type="dxa" w:w="2880"/>
            <w:tcMar>
              <w:top w:w="100" w:type="dxa"/>
              <w:start w:w="100" w:type="dxa"/>
              <w:bottom w:w="100" w:type="dxa"/>
              <w:end w:w="100" w:type="dxa"/>
            </w:tcMar>
            <w:vAlign w:val="center"/>
          </w:tcPr>
          <w:p>
            <w:pPr>
              <w:jc w:val="center"/>
            </w:pPr>
            <w:r>
              <w:t>Supported natively</w:t>
            </w:r>
          </w:p>
        </w:tc>
        <w:tc>
          <w:tcPr>
            <w:tcW w:type="dxa" w:w="3888"/>
            <w:tcMar>
              <w:top w:w="100" w:type="dxa"/>
              <w:start w:w="100" w:type="dxa"/>
              <w:bottom w:w="100" w:type="dxa"/>
              <w:end w:w="100" w:type="dxa"/>
            </w:tcMar>
            <w:vAlign w:val="center"/>
          </w:tcPr>
          <w:p>
            <w:pPr>
              <w:jc w:val="left"/>
            </w:pPr>
            <w:r>
              <w:t>Wallet and app-specific policy</w:t>
            </w:r>
          </w:p>
        </w:tc>
      </w:tr>
    </w:tbl>
    <w:p/>
    <w:p>
      <w:pPr>
        <w:pStyle w:val="Heading1"/>
      </w:pPr>
      <w:r>
        <w:t>6. Accounts and Wallet UX</w:t>
      </w:r>
    </w:p>
    <w:p>
      <w:r>
        <w:t>Externally owned accounts created an unnecessary split between users and applications. Solen removes this distinction. Every user account is a programmable account capable of policy enforcement, batched operations, delegated permissions, session keys, threshold authorization, and recovery. The protocol treats user operations as first-class objects, allowing wallets to abstract fee payment, simulation, and replay protection.</w:t>
      </w:r>
    </w:p>
    <w:p>
      <w:pPr>
        <w:pStyle w:val="ListBullet"/>
      </w:pPr>
      <w:r>
        <w:t>Passkeys and device-native authentication for mainstream use.</w:t>
      </w:r>
    </w:p>
    <w:p>
      <w:pPr>
        <w:pStyle w:val="ListBullet"/>
      </w:pPr>
      <w:r>
        <w:t>Guardian and threshold recovery for resilience against key loss.</w:t>
      </w:r>
    </w:p>
    <w:p>
      <w:pPr>
        <w:pStyle w:val="ListBullet"/>
      </w:pPr>
      <w:r>
        <w:t>Policy-controlled spending, approvals, and session credentials.</w:t>
      </w:r>
    </w:p>
    <w:p>
      <w:pPr>
        <w:pStyle w:val="ListBullet"/>
      </w:pPr>
      <w:r>
        <w:t>Human-readable simulation so users understand what they are signing.</w:t>
      </w:r>
    </w:p>
    <w:p>
      <w:pPr>
        <w:pStyle w:val="Heading1"/>
      </w:pPr>
      <w:r>
        <w:t>7. Privacy and Verifiable Identity</w:t>
      </w:r>
    </w:p>
    <w:p>
      <w:r>
        <w:t>Complete transparency is not suitable for every use case. Solen supports bounded privacy through proof systems that allow users or institutions to attest to facts without disclosing all underlying data. This includes claims such as age, jurisdiction, membership, accreditation, KYC completion, or solvency. Privacy support may be stronger in selected execution domains than on the base layer, but the interface is part of the ecosystem design from the start.</w:t>
      </w:r>
    </w:p>
    <w:p>
      <w:pPr>
        <w:pStyle w:val="Heading1"/>
      </w:pPr>
      <w:r>
        <w:t>8. Transaction Flow and MEV</w:t>
      </w:r>
    </w:p>
    <w:p>
      <w:r>
        <w:t>MEV is a structural consequence of valuable ordering rights. Solen therefore models ordering as a protocol design problem. The network may support encrypted mempools, periodic batch auctions, or intent-based submission paths in which solvers compete to satisfy user constraints under auditable rules. The objective is not to eliminate all arbitrage, which is unrealistic, but to reduce predatory extraction and opaque private ordering markets.</w:t>
      </w:r>
    </w:p>
    <w:p>
      <w:pPr>
        <w:pStyle w:val="Heading1"/>
      </w:pPr>
      <w:r>
        <w:t>9. Governance and Upgrades</w:t>
      </w:r>
    </w:p>
    <w:p>
      <w:r>
        <w:t>Solen favors minimal governance. Core protocol changes should not be subject to unrestricted plutocratic token voting. Instead, the system should define a narrow constitutional surface, transparent upgrade categories, testnet-to-mainnet qualification standards, and a path to reduce bootstrap discretion over time. Governance is therefore a coordination and safety mechanism, not an excuse to socialize arbitrary protocol control.</w:t>
      </w:r>
    </w:p>
    <w:p>
      <w:pPr>
        <w:pStyle w:val="Heading1"/>
      </w:pPr>
      <w:r>
        <w:t>10. Token and Fee Philosophy</w:t>
      </w:r>
    </w:p>
    <w:p>
      <w:r>
        <w:t>The network requires a native asset for stake, settlement accounting, and potentially base-layer fee settlement. However, ordinary users should not be forced to reason directly about gas market mechanics. User-facing applications can sponsor fees or denominate costs in approved assets through paymaster systems. The native asset is thus a protocol instrument first and a user experience requirement only where unavoidable.</w:t>
      </w:r>
    </w:p>
    <w:p>
      <w:pPr>
        <w:pStyle w:val="Heading1"/>
      </w:pPr>
      <w:r>
        <w:t>11. Security Model</w:t>
      </w:r>
    </w:p>
    <w:p>
      <w:r>
        <w:t>Solen inherits the usual assumptions of Byzantine fault-tolerant proof-of-stake systems and adds explicit trust boundaries for execution domains, bridges, provers, wallets, and external attestors. Security therefore depends on isolating failure domains, constraining bridge behavior, formalizing message semantics, and giving the settlement layer the final authority over canonical state and inter-domain receipts. No whitepaper claim should be treated as sufficient without executable specifications, audits, and adversarial testing.</w:t>
      </w:r>
    </w:p>
    <w:p>
      <w:pPr>
        <w:pStyle w:val="Heading1"/>
      </w:pPr>
      <w:r>
        <w:t>12. Roadmap</w:t>
      </w:r>
    </w:p>
    <w:p>
      <w:pPr>
        <w:pStyle w:val="ListNumber"/>
      </w:pPr>
      <w:r>
        <w:t>Specification phase: publish terminology, state model, APIs, threat model, and cryptographic choices.</w:t>
      </w:r>
    </w:p>
    <w:p>
      <w:pPr>
        <w:pStyle w:val="ListNumber"/>
      </w:pPr>
      <w:r>
        <w:t>Prototype phase: demonstrate a minimal settlement kernel, one rollup, one wallet flow, and one bridge path.</w:t>
      </w:r>
    </w:p>
    <w:p>
      <w:pPr>
        <w:pStyle w:val="ListNumber"/>
      </w:pPr>
      <w:r>
        <w:t>Alpha testnet: multi-validator environment with checkpoint sync, sponsorship, and event indexing.</w:t>
      </w:r>
    </w:p>
    <w:p>
      <w:pPr>
        <w:pStyle w:val="ListNumber"/>
      </w:pPr>
      <w:r>
        <w:t>Security phase: independent audits, fuzzing, failure drills, and incentive testing.</w:t>
      </w:r>
    </w:p>
    <w:p>
      <w:pPr>
        <w:pStyle w:val="ListNumber"/>
      </w:pPr>
      <w:r>
        <w:t>Public testnet and staged mainnet: conservative launch parameters, explicit circuit breakers, and gradual decentralization of sequencing and governance controls.</w:t>
      </w:r>
    </w:p>
    <w:p>
      <w:pPr>
        <w:pStyle w:val="Heading1"/>
      </w:pPr>
      <w:r>
        <w:t>13. Conclusion</w:t>
      </w:r>
    </w:p>
    <w:p>
      <w:r>
        <w:t>Solen is not an attempt to make a single chain do everything better. It is a proposal to reorganize the architecture of a smart-contract ecosystem around cleaner responsibilities. A minimal settlement layer, native rollups, programmable accounts, privacy-capable proofs, and intent-aware transaction flow together form a more realistic path toward scalable and usable internet-native settlement. The test of Solen will not be whether it can advertise the highest throughput headline, but whether it can let users and developers enjoy the benefits of open blockchain infrastructure without carrying unnecessary complexity at every layer.</w:t>
      </w:r>
    </w:p>
    <w:sectPr w:rsidR="00FC693F" w:rsidRPr="0006063C" w:rsidSect="00034616">
      <w:headerReference w:type="default" r:id="rId9"/>
      <w:footerReference w:type="default" r:id="rId10"/>
      <w:pgSz w:w="12240" w:h="15840"/>
      <w:pgMar w:top="1152" w:right="1152" w:bottom="1008" w:left="1152" w:header="36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6060"/>
        <w:sz w:val="18"/>
      </w:rPr>
      <w:t xml:space="preserve">Solen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06060"/>
        <w:sz w:val="18"/>
      </w:rPr>
      <w:t>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2222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ptos" w:hAnsi="Aptos"/>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b w:val="0"/>
      <w:i/>
      <w:iCs/>
      <w:color w:val="60606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