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Detailný Benchmark Report: Mistral AI</w:t>
      </w:r>
    </w:p>
    <w:p>
      <w:r>
        <w:t>Symbol: AAPL | Počet testov: 5</w:t>
      </w:r>
    </w:p>
    <w:p>
      <w:pPr>
        <w:pStyle w:val="Heading1"/>
      </w:pPr>
      <w:r>
        <w:t>Test č. 1</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debaty (Supervisor):</w:t>
      </w:r>
    </w:p>
    <w:p>
      <w:r>
        <w:t>The positive arguments for investing in AAPL included its strong financial performance, dominant market position, and innovative product lineup. On the other hand, the negative arguments pointed out the potential risks such as market volatility, over-reliance on the iPhone, and competitive pressures. The final agent decided to hold off on an investment in AAPL at this time, suggesting that while the company has strengths, the current market conditions and associated risks require cautious evaluation.</w:t>
      </w:r>
    </w:p>
    <w:p>
      <w:pPr>
        <w:pStyle w:val="Heading2"/>
      </w:pPr>
      <w:r>
        <w:t>Detailné zdôvodnenie (Final Agent):</w:t>
      </w:r>
    </w:p>
    <w:p>
      <w:r>
        <w:t>Successfully transferred back to InvestmentSupervisor</w:t>
      </w:r>
    </w:p>
    <w:p>
      <w:r>
        <w:br w:type="page"/>
      </w:r>
    </w:p>
    <w:p>
      <w:pPr>
        <w:pStyle w:val="Heading1"/>
      </w:pPr>
      <w:r>
        <w:t>Test č. 2</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debaty (Supervisor):</w:t>
      </w:r>
    </w:p>
    <w:p>
      <w:r>
        <w:t>The debate on investing in AAPL highlighted its strong brand and consistent growth in earnings as key positive factors. However, risks such as market volatility, intense competition, and regulatory challenges were noted as potential negatives. The final decision was to hold, as the market sentiment suggests a balanced outlook for AAPL at this time, warranting a cautious approach.</w:t>
      </w:r>
    </w:p>
    <w:p>
      <w:pPr>
        <w:pStyle w:val="Heading2"/>
      </w:pPr>
      <w:r>
        <w:t>Detailné zdôvodnenie (Final Agent):</w:t>
      </w:r>
    </w:p>
    <w:p>
      <w:r>
        <w:t>Successfully transferred back to InvestmentSupervisor</w:t>
      </w:r>
    </w:p>
    <w:p>
      <w:r>
        <w:br w:type="page"/>
      </w:r>
    </w:p>
    <w:p>
      <w:pPr>
        <w:pStyle w:val="Heading1"/>
      </w:pPr>
      <w:r>
        <w:t>Test č. 3</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debaty (Supervisor):</w:t>
      </w:r>
    </w:p>
    <w:p>
      <w:r>
        <w:t>The discussion on investing in AAPL highlighted Apple's strong brand, innovative products, and diversified revenue streams as key positives, suggesting potential for growth and returns. However, concerns were raised about market volatility, intense competition, and reliance on key products like the iPhone. Balancing these considerations, the final decision was to hold off on investing immediately, awaiting clearer market conditions and performance indicators.</w:t>
      </w:r>
    </w:p>
    <w:p>
      <w:pPr>
        <w:pStyle w:val="Heading2"/>
      </w:pPr>
      <w:r>
        <w:t>Detailné zdôvodnenie (Final Agent):</w:t>
      </w:r>
    </w:p>
    <w:p>
      <w:r>
        <w:t>Successfully transferred back to InvestmentSupervisor</w:t>
      </w:r>
    </w:p>
    <w:p>
      <w:r>
        <w:br w:type="page"/>
      </w:r>
    </w:p>
    <w:p>
      <w:pPr>
        <w:pStyle w:val="Heading1"/>
      </w:pPr>
      <w:r>
        <w:t>Test č. 4</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debaty (Supervisor):</w:t>
      </w:r>
    </w:p>
    <w:p>
      <w:r>
        <w:t>The key positive arguments for investing in AAPL were Apple's strong brand, broad market presence, and consistent innovation. On the negative side, concerns included market volatility, intense competition, and potential regulatory risks. The final decision was to hold the investment, reflecting a balance between potential growth opportunities and the risks associated with AAPL stock.</w:t>
      </w:r>
    </w:p>
    <w:p>
      <w:pPr>
        <w:pStyle w:val="Heading2"/>
      </w:pPr>
      <w:r>
        <w:t>Detailné zdôvodnenie (Final Agent):</w:t>
      </w:r>
    </w:p>
    <w:p>
      <w:r>
        <w:t>Successfully transferred back to InvestmentSupervisor</w:t>
      </w:r>
    </w:p>
    <w:p>
      <w:r>
        <w:br w:type="page"/>
      </w:r>
    </w:p>
    <w:p>
      <w:pPr>
        <w:pStyle w:val="Heading1"/>
      </w:pPr>
      <w:r>
        <w:t>Test č. 5</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debaty (Supervisor):</w:t>
      </w:r>
    </w:p>
    <w:p>
      <w:r>
        <w:t>The positivity around investing in AAPL stock included its strong financial performance, innovative products, and market dominance. On the other hand, concerns were raised about market saturation, dependency on iPhone sales, regulatory issues, and economic downturn risks. The final decision was to hold the stock, balancing both the positive and negative aspects, allowing for reassessment as market conditions evolve.</w:t>
      </w:r>
    </w:p>
    <w:p>
      <w:pPr>
        <w:pStyle w:val="Heading2"/>
      </w:pPr>
      <w:r>
        <w:t>Detailné zdôvodnenie (Final Agent):</w:t>
      </w:r>
    </w:p>
    <w:p>
      <w:r>
        <w:t>Successfully transferred back to InvestmentSupervisor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