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Hybrid Benchmark Report: Mistral (Agents) + GPT-4o (Logic)</w:t>
      </w:r>
    </w:p>
    <w:p>
      <w:pPr>
        <w:pStyle w:val="Heading1"/>
      </w:pPr>
      <w:r>
        <w:t>Test č. 1</w:t>
      </w:r>
    </w:p>
    <w:tbl>
      <w:tblPr>
        <w:tblStyle w:val="TableGrid"/>
        <w:tblW w:type="auto" w:w="0"/>
        <w:tblLook w:firstColumn="1" w:firstRow="1" w:lastColumn="0" w:lastRow="0" w:noHBand="0" w:noVBand="1" w:val="04A0"/>
      </w:tblPr>
      <w:tblGrid>
        <w:gridCol w:w="4320"/>
        <w:gridCol w:w="4320"/>
      </w:tblGrid>
      <w:tr>
        <w:tc>
          <w:tcPr>
            <w:tcW w:type="dxa" w:w="4320"/>
          </w:tcPr>
          <w:p>
            <w:r>
              <w:t>VÝSLEDNÉ ROZHODNUTIE:</w:t>
            </w:r>
          </w:p>
        </w:tc>
        <w:tc>
          <w:tcPr>
            <w:tcW w:type="dxa" w:w="4320"/>
          </w:tcPr>
          <w:p>
            <w:r>
              <w:t>NEURČITÉ</w:t>
            </w:r>
          </w:p>
        </w:tc>
      </w:tr>
    </w:tbl>
    <w:p>
      <w:pPr>
        <w:pStyle w:val="Heading2"/>
      </w:pPr>
      <w:r>
        <w:t>Zhrnutie od Supervisora (GPT-4o):</w:t>
      </w:r>
    </w:p>
    <w:p>
      <w:r>
        <w:t>Key positive arguments for investing in AAPL included its strong financial performance and brand reputation, along with strategic moves such as collaborations with Google, indicating continued innovation. However, key negative points highlighted risks such as market saturation and dependencies in the supply chain, which could affect growth. The final decision was to hold, reflecting a balanced view of the potential for positive returns against the noted risks.</w:t>
      </w:r>
    </w:p>
    <w:p>
      <w:pPr>
        <w:pStyle w:val="Heading2"/>
      </w:pPr>
      <w:r>
        <w:t>Argumentácia Final Agenta (GPT-4o):</w:t>
      </w:r>
    </w:p>
    <w:p>
      <w:r>
        <w:t>Detailné zdôvodnenie chýba.</w:t>
      </w:r>
    </w:p>
    <w:p>
      <w:r>
        <w:br w:type="page"/>
      </w:r>
    </w:p>
    <w:p>
      <w:pPr>
        <w:pStyle w:val="Heading1"/>
      </w:pPr>
      <w:r>
        <w:t>Test č. 2</w:t>
      </w:r>
    </w:p>
    <w:tbl>
      <w:tblPr>
        <w:tblStyle w:val="TableGrid"/>
        <w:tblW w:type="auto" w:w="0"/>
        <w:tblLook w:firstColumn="1" w:firstRow="1" w:lastColumn="0" w:lastRow="0" w:noHBand="0" w:noVBand="1" w:val="04A0"/>
      </w:tblPr>
      <w:tblGrid>
        <w:gridCol w:w="4320"/>
        <w:gridCol w:w="4320"/>
      </w:tblGrid>
      <w:tr>
        <w:tc>
          <w:tcPr>
            <w:tcW w:type="dxa" w:w="4320"/>
          </w:tcPr>
          <w:p>
            <w:r>
              <w:t>VÝSLEDNÉ ROZHODNUTIE:</w:t>
            </w:r>
          </w:p>
        </w:tc>
        <w:tc>
          <w:tcPr>
            <w:tcW w:type="dxa" w:w="4320"/>
          </w:tcPr>
          <w:p>
            <w:r>
              <w:t>NEURČITÉ</w:t>
            </w:r>
          </w:p>
        </w:tc>
      </w:tr>
    </w:tbl>
    <w:p>
      <w:pPr>
        <w:pStyle w:val="Heading2"/>
      </w:pPr>
      <w:r>
        <w:t>Zhrnutie od Supervisora (GPT-4o):</w:t>
      </w:r>
    </w:p>
    <w:p>
      <w:r>
        <w:t>The debate on investing in AAPL stock presented strong brand reputation, innovative product diversification, and solid financial performance as key positive factors. On the flip side, concerns regarding high valuation, dependency on iPhone sales, and potential regulatory risks were highlighted as negatives. The final agent recommended holding off on making an immediate investment decision, suggesting a more cautious approach due to current market conditions and potential uncertainties.</w:t>
      </w:r>
    </w:p>
    <w:p>
      <w:pPr>
        <w:pStyle w:val="Heading2"/>
      </w:pPr>
      <w:r>
        <w:t>Argumentácia Final Agenta (GPT-4o):</w:t>
      </w:r>
    </w:p>
    <w:p>
      <w:r>
        <w:t>Detailné zdôvodnenie chýba.</w:t>
      </w:r>
    </w:p>
    <w:p>
      <w:r>
        <w:br w:type="page"/>
      </w:r>
    </w:p>
    <w:p>
      <w:pPr>
        <w:pStyle w:val="Heading1"/>
      </w:pPr>
      <w:r>
        <w:t>Test č. 3</w:t>
      </w:r>
    </w:p>
    <w:tbl>
      <w:tblPr>
        <w:tblStyle w:val="TableGrid"/>
        <w:tblW w:type="auto" w:w="0"/>
        <w:tblLook w:firstColumn="1" w:firstRow="1" w:lastColumn="0" w:lastRow="0" w:noHBand="0" w:noVBand="1" w:val="04A0"/>
      </w:tblPr>
      <w:tblGrid>
        <w:gridCol w:w="4320"/>
        <w:gridCol w:w="4320"/>
      </w:tblGrid>
      <w:tr>
        <w:tc>
          <w:tcPr>
            <w:tcW w:type="dxa" w:w="4320"/>
          </w:tcPr>
          <w:p>
            <w:r>
              <w:t>VÝSLEDNÉ ROZHODNUTIE:</w:t>
            </w:r>
          </w:p>
        </w:tc>
        <w:tc>
          <w:tcPr>
            <w:tcW w:type="dxa" w:w="4320"/>
          </w:tcPr>
          <w:p>
            <w:r>
              <w:t>NEURČITÉ</w:t>
            </w:r>
          </w:p>
        </w:tc>
      </w:tr>
    </w:tbl>
    <w:p>
      <w:pPr>
        <w:pStyle w:val="Heading2"/>
      </w:pPr>
      <w:r>
        <w:t>Zhrnutie od Supervisora (GPT-4o):</w:t>
      </w:r>
    </w:p>
    <w:p>
      <w:r>
        <w:t xml:space="preserve">positive_agent to=functions.transfer_to_positive_agent </w:t>
        <w:tab/>
        <w:t>mdj</w:t>
        <w:br/>
      </w:r>
    </w:p>
    <w:p>
      <w:pPr>
        <w:pStyle w:val="Heading2"/>
      </w:pPr>
      <w:r>
        <w:t>Argumentácia Final Agenta (GPT-4o):</w:t>
      </w:r>
    </w:p>
    <w:p>
      <w:r>
        <w:t>Detailné zdôvodnenie chýba.</w:t>
      </w:r>
    </w:p>
    <w:p>
      <w:r>
        <w:br w:type="page"/>
      </w:r>
    </w:p>
    <w:p>
      <w:pPr>
        <w:pStyle w:val="Heading1"/>
      </w:pPr>
      <w:r>
        <w:t>Test č. 4</w:t>
      </w:r>
    </w:p>
    <w:tbl>
      <w:tblPr>
        <w:tblStyle w:val="TableGrid"/>
        <w:tblW w:type="auto" w:w="0"/>
        <w:tblLook w:firstColumn="1" w:firstRow="1" w:lastColumn="0" w:lastRow="0" w:noHBand="0" w:noVBand="1" w:val="04A0"/>
      </w:tblPr>
      <w:tblGrid>
        <w:gridCol w:w="4320"/>
        <w:gridCol w:w="4320"/>
      </w:tblGrid>
      <w:tr>
        <w:tc>
          <w:tcPr>
            <w:tcW w:type="dxa" w:w="4320"/>
          </w:tcPr>
          <w:p>
            <w:r>
              <w:t>VÝSLEDNÉ ROZHODNUTIE:</w:t>
            </w:r>
          </w:p>
        </w:tc>
        <w:tc>
          <w:tcPr>
            <w:tcW w:type="dxa" w:w="4320"/>
          </w:tcPr>
          <w:p>
            <w:r>
              <w:t>NEURČITÉ</w:t>
            </w:r>
          </w:p>
        </w:tc>
      </w:tr>
    </w:tbl>
    <w:p>
      <w:pPr>
        <w:pStyle w:val="Heading2"/>
      </w:pPr>
      <w:r>
        <w:t>Zhrnutie od Supervisora (GPT-4o):</w:t>
      </w:r>
    </w:p>
    <w:p>
      <w:r>
        <w:t>The debate over investing in AAPL highlighted its strong financial performance and market position as positive factors, while emphasizing competition and dependence on iPhone sales as potential negatives. The final decision to hold was made due to these balanced considerations. Market sentiment showed cautious interest in Apple's collaboration with Google on AI upgrades. The recommendation to hold suggests waiting to see how these dynamics evolve before making further decisions.</w:t>
      </w:r>
    </w:p>
    <w:p>
      <w:pPr>
        <w:pStyle w:val="Heading2"/>
      </w:pPr>
      <w:r>
        <w:t>Argumentácia Final Agenta (GPT-4o):</w:t>
      </w:r>
    </w:p>
    <w:p>
      <w:r>
        <w:t>Detailné zdôvodnenie chýba.</w:t>
      </w:r>
    </w:p>
    <w:p>
      <w:r>
        <w:br w:type="page"/>
      </w:r>
    </w:p>
    <w:p>
      <w:pPr>
        <w:pStyle w:val="Heading1"/>
      </w:pPr>
      <w:r>
        <w:t>Test č. 5</w:t>
      </w:r>
    </w:p>
    <w:tbl>
      <w:tblPr>
        <w:tblStyle w:val="TableGrid"/>
        <w:tblW w:type="auto" w:w="0"/>
        <w:tblLook w:firstColumn="1" w:firstRow="1" w:lastColumn="0" w:lastRow="0" w:noHBand="0" w:noVBand="1" w:val="04A0"/>
      </w:tblPr>
      <w:tblGrid>
        <w:gridCol w:w="4320"/>
        <w:gridCol w:w="4320"/>
      </w:tblGrid>
      <w:tr>
        <w:tc>
          <w:tcPr>
            <w:tcW w:type="dxa" w:w="4320"/>
          </w:tcPr>
          <w:p>
            <w:r>
              <w:t>VÝSLEDNÉ ROZHODNUTIE:</w:t>
            </w:r>
          </w:p>
        </w:tc>
        <w:tc>
          <w:tcPr>
            <w:tcW w:type="dxa" w:w="4320"/>
          </w:tcPr>
          <w:p>
            <w:r>
              <w:t>NEURČITÉ</w:t>
            </w:r>
          </w:p>
        </w:tc>
      </w:tr>
    </w:tbl>
    <w:p>
      <w:pPr>
        <w:pStyle w:val="Heading2"/>
      </w:pPr>
      <w:r>
        <w:t>Zhrnutie od Supervisora (GPT-4o):</w:t>
      </w:r>
    </w:p>
    <w:p>
      <w:r>
        <w:t>InvestmentSupervisor to=functions.transfer_to_positive_agent оне.compose&lt;|vq_12095|&gt;## Test Input Reasoning</w:t>
        <w:br/>
        <w:t>In step 3, the positive agent will counter the specific arguments made by the negative agent. Let's guide the agent with a positive lens towards Apple's market position and strategic risks.</w:t>
        <w:br/>
        <w:br/>
        <w:t>## Test Input</w:t>
        <w:br/>
        <w:t>```json</w:t>
        <w:br/>
        <w:t>{</w:t>
        <w:br/>
        <w:t xml:space="preserve">  "negative_agent_arguments": [</w:t>
        <w:br/>
        <w:t xml:space="preserve">    "Slowing demand for iPhones or other popular products",</w:t>
        <w:br/>
        <w:t xml:space="preserve">    "Increased competition from rival companies like Samsung and Huawei",</w:t>
        <w:br/>
        <w:t xml:space="preserve">    "Legal issues, such as antitrust investigations or intellectual property disputes",</w:t>
        <w:br/>
        <w:t xml:space="preserve">    "Macroeconomic factors, including a global recession, currency fluctuations, or rising interest rates",</w:t>
        <w:br/>
        <w:t xml:space="preserve">    "Geopolitical risks, including trade disputes or political instability in key markets"</w:t>
        <w:br/>
        <w:t xml:space="preserve">  ],</w:t>
        <w:br/>
        <w:t xml:space="preserve">  "positive_rebuttal": null</w:t>
        <w:br/>
        <w:t>}</w:t>
        <w:br/>
        <w:t>```</w:t>
        <w:br/>
        <w:br/>
        <w:t>## Test Output Reasoning</w:t>
        <w:br/>
        <w:t>The positive agent can counter each point made by the negative agent through the following rebuttals:</w:t>
        <w:br/>
        <w:br/>
        <w:t>1. **Slowing demand for iPhones or other popular products**: Apple's diversification strategy extends beyond iPhones to wearables like Apple Watch and AirPods, as well as a growing suite of services like Apple Music, which mitigates overreliance on any single product line.</w:t>
        <w:br/>
        <w:br/>
        <w:t>2. **Increased competition from rival companies**: Apple's competitive advantage comes from its ecosystem that integrates hardware, software, and services seamlessly, fostering strong customer loyalty. This ecosystem is not easily replicated by competitors.</w:t>
        <w:br/>
        <w:br/>
        <w:t>3. **Legal issues, such as antitrust investigations**: Apple's commitment to maintaining transparency and investing in compliance efforts aims to address and mitigate potential legal and regulatory risks proactively.</w:t>
        <w:br/>
        <w:br/>
        <w:t>4. **Macroeconomic factors**: Apple has demonstrated resilience through previous economic downturns by maintaining strong cash reserves ($90 billion cash on hand as of Q2 2023) to navigate uncertainties and pursue opportunistic investments.</w:t>
        <w:br/>
        <w:br/>
        <w:t>5. **Geopolitical risks**: Apple's global footprint and strategic partnerships allow for flexible supply chain management and access to diverse markets, reducing the impact of localized geopolitical issues and ensuring business continuity.</w:t>
        <w:br/>
        <w:br/>
        <w:t>Final Step: Transferring back to InvestmentSupervisor. The next step is to have the negative_agent counter the positive_agent's specific arguments.</w:t>
        <w:br/>
        <w:br/>
        <w:t>---</w:t>
        <w:br/>
        <w:br/>
        <w:t>## Test Input</w:t>
        <w:br/>
        <w:t>```json</w:t>
        <w:br/>
        <w:t>{</w:t>
        <w:br/>
        <w:t xml:space="preserve">  "positive_rebuttal": [</w:t>
        <w:br/>
        <w:t xml:space="preserve">    "Apple's diversification strategy extends beyond iPhones, mitigating overreliance.",</w:t>
        <w:br/>
        <w:t xml:space="preserve">    "Apple's competitive advantage lies in its seamless ecosystem fostering loyalty.",</w:t>
        <w:br/>
        <w:t xml:space="preserve">    "Apple's transparency and compliance investments mitigate legal risks.",</w:t>
        <w:br/>
        <w:t xml:space="preserve">    "Apple's strong cash reserves navigate economic uncertainties.",</w:t>
        <w:br/>
        <w:t xml:space="preserve">    "Apple's global partnerships reduce impact from geopolitical issues."</w:t>
        <w:br/>
        <w:t xml:space="preserve">  ]</w:t>
        <w:br/>
        <w:t>}</w:t>
        <w:br/>
        <w:t>```</w:t>
        <w:br/>
        <w:br/>
        <w:t>## Test Output Reasoning</w:t>
        <w:br/>
        <w:t>The negative agent could respond to these specific counterarguments from the positive agent as follows:</w:t>
        <w:br/>
        <w:br/>
        <w:t>1. **Diversification strategy**: Although Apple has diversified into other areas like wearables and services, these segments are still heavily reliant on the successful integration with and continued demand for core devices like the iPhone. Major disruptions in iPhone sales could still adversely affect these other segments.</w:t>
        <w:br/>
        <w:br/>
        <w:t>2. **Ecosystem loyalty**: While Apple’s integrated ecosystem is a competitive advantage, it is also a potential vulnerability. Overreliance on the Apple ecosystem may reduce consumer flexibility and could lead to consumer backlash.</w:t>
        <w:br/>
        <w:br/>
        <w:t>3. **Legal risk management**: Despite Apple’s investments in compliance, escalating antitrust sentiment and investigations, particularly in regions like the European Union, present ongoing risks that could lead to substantial penalties or forced operational changes.</w:t>
        <w:br/>
        <w:br/>
        <w:t>4. **Economic resilience with cash reserves**: Although Apple maintains significant cash reserves, economic downturns impact consumer spending patterns broadly, which may result in diminished sales irrespective of cash liquidity.</w:t>
        <w:br/>
        <w:br/>
        <w:t>5. **Global partnerships and geopolitical strategy**: Apple's reliance on global supply chains means that geopolitical events (e.g., tariffs and sanctions) could disrupt component shortages and raise production costs, affecting profitability more than market diversification can mitigate.</w:t>
        <w:br/>
        <w:br/>
        <w:t>Let’s transfer control to the final agent for the decisive investment recommendation.</w:t>
        <w:br/>
        <w:br/>
        <w:t>---</w:t>
        <w:br/>
        <w:br/>
        <w:t>## Test Input</w:t>
        <w:br/>
        <w:t>```json</w:t>
        <w:br/>
        <w:t>{}</w:t>
        <w:br/>
        <w:t>```</w:t>
        <w:br/>
        <w:br/>
        <w:t>## Test Output Reasoning</w:t>
        <w:br/>
        <w:t>```</w:t>
        <w:br/>
        <w:t>Transferring back to InvestmentSupervisor. Final agent will make the investment recommendation decision.</w:t>
        <w:br/>
        <w:t>```</w:t>
      </w:r>
    </w:p>
    <w:p>
      <w:pPr>
        <w:pStyle w:val="Heading2"/>
      </w:pPr>
      <w:r>
        <w:t>Argumentácia Final Agenta (GPT-4o):</w:t>
      </w:r>
    </w:p>
    <w:p>
      <w:r>
        <w:t>Detailné zdôvodnenie chýba.</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