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9.jpg" ContentType="image/jpeg"/>
  <Override PartName="/word/media/rId29.jpg" ContentType="image/jpeg"/>
  <Override PartName="/word/media/rId44.jpg" ContentType="image/jpeg"/>
  <Override PartName="/word/media/rId34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трех случаев.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1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 t</w:t>
      </w:r>
      <m:oMath>
        <m:r>
          <m:rPr>
            <m:sty m:val="p"/>
          </m:rPr>
          <m:t>∈</m:t>
        </m:r>
      </m:oMath>
      <w:r>
        <w:t xml:space="preserve">[0;46] (шаг 0.05) с начальными условиями x</w:t>
      </w:r>
      <w:r>
        <w:rPr>
          <w:vertAlign w:val="subscript"/>
        </w:rPr>
        <w:t xml:space="preserve">0</w:t>
      </w:r>
      <w:r>
        <w:t xml:space="preserve">=0.1,y</w:t>
      </w:r>
      <w:r>
        <w:rPr>
          <w:vertAlign w:val="subscript"/>
        </w:rPr>
        <w:t xml:space="preserve">0</w:t>
      </w:r>
      <w:r>
        <w:t xml:space="preserve">=-1.1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y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w</w:t>
      </w:r>
      <w:r>
        <w:rPr>
          <w:vertAlign w:val="subscript"/>
        </w:rPr>
        <w:t xml:space="preserve">0</w:t>
      </w:r>
      <w:r>
        <w:t xml:space="preserve"> </w:t>
      </w:r>
      <w:r>
        <w:t xml:space="preserve">–- собственная частота</w:t>
      </w:r>
      <w:r>
        <w:t xml:space="preserve"> </w:t>
      </w:r>
      <w:r>
        <w:t xml:space="preserve">колебаний, t –- время. (Обозначения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(y=0) 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m:t>∫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∫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m:t>∫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 </w:t>
      </w:r>
      <w:r>
        <w:t xml:space="preserve">(4)</w:t>
      </w:r>
    </w:p>
    <w:p>
      <w:pPr>
        <w:pStyle w:val="BodyText"/>
      </w:pPr>
      <w:r>
        <w:t xml:space="preserve">Начальные условия (3) для системы (4) примут вид: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3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c95178ccecfba56ab1570f6e3ba3bc9a73e44e8"/>
    <w:p>
      <w:pPr>
        <w:pStyle w:val="Heading2"/>
      </w:pPr>
      <w:r>
        <w:t xml:space="preserve">Написание программного кода в OpenModelica для создание модели:</w:t>
      </w:r>
    </w:p>
    <w:p>
      <w:pPr>
        <w:pStyle w:val="CaptionedFigure"/>
      </w:pPr>
      <w:bookmarkStart w:id="27" w:name="fig:001"/>
      <w:r>
        <w:drawing>
          <wp:inline>
            <wp:extent cx="1455420" cy="1556004"/>
            <wp:effectExtent b="0" l="0" r="0" t="0"/>
            <wp:docPr descr="Код программы для гармонического осциллятора без затуханий и без действий внешней силы" title="" id="25" name="Picture"/>
            <a:graphic>
              <a:graphicData uri="http://schemas.openxmlformats.org/drawingml/2006/picture">
                <pic:pic>
                  <pic:nvPicPr>
                    <pic:cNvPr descr="images/img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5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bookmarkEnd w:id="28"/>
    <w:bookmarkStart w:id="33" w:name="Xe2780427df9ae89dd7d71f0deaff2c54e5710fc"/>
    <w:p>
      <w:pPr>
        <w:pStyle w:val="Heading2"/>
      </w:pPr>
      <w:r>
        <w:t xml:space="preserve">Написание программного кода в OpenModelica для создание модели:</w:t>
      </w:r>
    </w:p>
    <w:p>
      <w:pPr>
        <w:pStyle w:val="CaptionedFigure"/>
      </w:pPr>
      <w:bookmarkStart w:id="32" w:name="fig:002"/>
      <w:r>
        <w:drawing>
          <wp:inline>
            <wp:extent cx="803148" cy="370332"/>
            <wp:effectExtent b="0" l="0" r="0" t="0"/>
            <wp:docPr descr="Код программы для гармонического осциллятора c затуханием и без действий внешней силы" title="" id="30" name="Picture"/>
            <a:graphic>
              <a:graphicData uri="http://schemas.openxmlformats.org/drawingml/2006/picture">
                <pic:pic>
                  <pic:nvPicPr>
                    <pic:cNvPr descr="images/im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" cy="37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Код программы для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bookmarkEnd w:id="33"/>
    <w:bookmarkStart w:id="38" w:name="X95e43ef4e6f6a08d9c2ad3873a82f3f42f105f4"/>
    <w:p>
      <w:pPr>
        <w:pStyle w:val="Heading2"/>
      </w:pPr>
      <w:r>
        <w:t xml:space="preserve">Написание программного кода в OpenModelica для создание модели:</w:t>
      </w:r>
    </w:p>
    <w:p>
      <w:pPr>
        <w:pStyle w:val="CaptionedFigure"/>
      </w:pPr>
      <w:bookmarkStart w:id="37" w:name="fig:003"/>
      <w:r>
        <w:drawing>
          <wp:inline>
            <wp:extent cx="1228344" cy="391668"/>
            <wp:effectExtent b="0" l="0" r="0" t="0"/>
            <wp:docPr descr="Код программы для гармонического осциллятора c затуханием и с действем внешней силы" title="" id="35" name="Picture"/>
            <a:graphic>
              <a:graphicData uri="http://schemas.openxmlformats.org/drawingml/2006/picture">
                <pic:pic>
                  <pic:nvPicPr>
                    <pic:cNvPr descr="images/img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44" cy="39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Код программы для гармонического осциллятора c затуханием и с действем внешней</w:t>
      </w:r>
      <w:r>
        <w:t xml:space="preserve"> </w:t>
      </w:r>
      <w:r>
        <w:t xml:space="preserve">силы</w:t>
      </w:r>
    </w:p>
    <w:bookmarkEnd w:id="38"/>
    <w:bookmarkStart w:id="43" w:name="построение-графиков-моделирование"/>
    <w:p>
      <w:pPr>
        <w:pStyle w:val="Heading2"/>
      </w:pPr>
      <w:r>
        <w:t xml:space="preserve">Построение графиков, моделирование:</w:t>
      </w:r>
    </w:p>
    <w:p>
      <w:pPr>
        <w:pStyle w:val="CaptionedFigure"/>
      </w:pPr>
      <w:bookmarkStart w:id="42" w:name="fig:004"/>
      <w:r>
        <w:drawing>
          <wp:inline>
            <wp:extent cx="2193036" cy="896112"/>
            <wp:effectExtent b="0" l="0" r="0" t="0"/>
            <wp:docPr descr="Фазовый портрет гармонического осциллятора без затуханий и без действий внешней силы" title="" id="40" name="Picture"/>
            <a:graphic>
              <a:graphicData uri="http://schemas.openxmlformats.org/drawingml/2006/picture">
                <pic:pic>
                  <pic:nvPicPr>
                    <pic:cNvPr descr="images/img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36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Фазовый портрет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bookmarkEnd w:id="43"/>
    <w:bookmarkStart w:id="48" w:name="построение-графиков-моделирование-1"/>
    <w:p>
      <w:pPr>
        <w:pStyle w:val="Heading2"/>
      </w:pPr>
      <w:r>
        <w:t xml:space="preserve">Построение графиков, моделирование:</w:t>
      </w:r>
    </w:p>
    <w:p>
      <w:pPr>
        <w:pStyle w:val="CaptionedFigure"/>
      </w:pPr>
      <w:bookmarkStart w:id="47" w:name="fig:005"/>
      <w:r>
        <w:drawing>
          <wp:inline>
            <wp:extent cx="998219" cy="883919"/>
            <wp:effectExtent b="0" l="0" r="0" t="0"/>
            <wp:docPr descr="Фазовый портрет гармонического осциллятора с затуханием и без действий внешней силы" title="" id="45" name="Picture"/>
            <a:graphic>
              <a:graphicData uri="http://schemas.openxmlformats.org/drawingml/2006/picture">
                <pic:pic>
                  <pic:nvPicPr>
                    <pic:cNvPr descr="images/img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19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Фазовый портрет гармонического осциллятора с затуханием и без действий внешней</w:t>
      </w:r>
      <w:r>
        <w:t xml:space="preserve"> </w:t>
      </w:r>
      <w:r>
        <w:t xml:space="preserve">силы</w:t>
      </w:r>
    </w:p>
    <w:bookmarkEnd w:id="48"/>
    <w:bookmarkStart w:id="53" w:name="построение-графиков-моделирование-2"/>
    <w:p>
      <w:pPr>
        <w:pStyle w:val="Heading2"/>
      </w:pPr>
      <w:r>
        <w:t xml:space="preserve">Построение графиков, моделирование:</w:t>
      </w:r>
    </w:p>
    <w:p>
      <w:pPr>
        <w:pStyle w:val="CaptionedFigure"/>
      </w:pPr>
      <w:bookmarkStart w:id="52" w:name="fig:006"/>
      <w:r>
        <w:drawing>
          <wp:inline>
            <wp:extent cx="976884" cy="873252"/>
            <wp:effectExtent b="0" l="0" r="0" t="0"/>
            <wp:docPr descr="Фазовый портрет гармонического осциллятора c затуханием и с действем внешней силы" title="" id="50" name="Picture"/>
            <a:graphic>
              <a:graphicData uri="http://schemas.openxmlformats.org/drawingml/2006/picture">
                <pic:pic>
                  <pic:nvPicPr>
                    <pic:cNvPr descr="images/img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" cy="87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Фазовый портрет гармонического осциллятора c затуханием и с действем внешней</w:t>
      </w:r>
      <w:r>
        <w:t xml:space="preserve"> </w:t>
      </w:r>
      <w:r>
        <w:t xml:space="preserve">силы</w:t>
      </w:r>
    </w:p>
    <w:bookmarkEnd w:id="53"/>
    <w:bookmarkStart w:id="54" w:name="вопросы-к-лабораторной-работе"/>
    <w:p>
      <w:pPr>
        <w:pStyle w:val="Heading2"/>
      </w:pPr>
      <w:r>
        <w:t xml:space="preserve">Вопросы к лабораторной работе:</w:t>
      </w:r>
    </w:p>
    <w:p>
      <w:pPr>
        <w:numPr>
          <w:ilvl w:val="0"/>
          <w:numId w:val="1002"/>
        </w:numPr>
        <w:pStyle w:val="Compact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γ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p>
          <m:e>
            <m:r>
              <m:t>ω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4"/>
        </w:numPr>
        <w:pStyle w:val="Compact"/>
      </w:pPr>
      <w:r>
        <w:t xml:space="preserve">Запишите модель математического маятника</w:t>
      </w:r>
    </w:p>
    <w:p>
      <w:pPr>
        <w:pStyle w:val="FirstParagraph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p>
          <m:e>
            <m:r>
              <m:t>ω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5"/>
        </w:numPr>
        <w:pStyle w:val="Compact"/>
      </w:pPr>
      <w:r>
        <w:t xml:space="preserve">Запишите алгоритм перехода от дифференциального уравнения второго порядка</w:t>
      </w:r>
      <w:r>
        <w:t xml:space="preserve"> </w:t>
      </w:r>
      <w:r>
        <w:t xml:space="preserve">к двум дифференциальным уравнениям первого порядка</w:t>
      </w:r>
    </w:p>
    <w:p>
      <w:pPr>
        <w:pStyle w:val="FirstParagraph"/>
      </w:pPr>
      <w:r>
        <w:t xml:space="preserve">Дифференциальное уравнение вида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y</m:t>
        </m:r>
      </m:oMath>
      <w:r>
        <w:t xml:space="preserve"> </w:t>
      </w:r>
      <w:r>
        <w:t xml:space="preserve">= f(x). Произведём замену переменной: введём новую функцию z(x) и тогда z(x) = $</w:t>
      </w:r>
      <w:r>
        <w:t xml:space="preserve">y $. Следовательно, и исходное уравнение превращается в уравнениие первого порядка</w:t>
      </w:r>
    </w:p>
    <w:p>
      <w:pPr>
        <w:numPr>
          <w:ilvl w:val="0"/>
          <w:numId w:val="1006"/>
        </w:numPr>
        <w:pStyle w:val="Compact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Фазовый портрет исследуемой системы — это совокупность фазовых траекторий для всевозможных начальных условий. Его можно рассматривать как интегральное многообразие.</w:t>
      </w:r>
      <w:r>
        <w:t xml:space="preserve"> </w:t>
      </w:r>
      <w:r>
        <w:t xml:space="preserve">Фазовая траектория - кривая в фазовом пространстве, составленная из точек, представляющих состояние динамической системы в последовательности.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построила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трех случаев.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9" Target="media/rId39.jpg" /><Relationship Type="http://schemas.openxmlformats.org/officeDocument/2006/relationships/image" Id="rId29" Target="media/rId29.jpg" /><Relationship Type="http://schemas.openxmlformats.org/officeDocument/2006/relationships/image" Id="rId44" Target="media/rId44.jpg" /><Relationship Type="http://schemas.openxmlformats.org/officeDocument/2006/relationships/image" Id="rId34" Target="media/rId34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Монастырская Кристина Владимировна</dc:creator>
  <dc:language>ru-RU</dc:language>
  <cp:keywords/>
  <dcterms:created xsi:type="dcterms:W3CDTF">2022-05-24T06:48:25Z</dcterms:created>
  <dcterms:modified xsi:type="dcterms:W3CDTF">2022-05-24T06:48:25Z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гармонических колебаний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