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D827" w14:textId="77777777" w:rsidR="000773A3" w:rsidRDefault="000773A3" w:rsidP="000773A3">
      <w:pPr>
        <w:spacing w:before="2880"/>
        <w:jc w:val="center"/>
      </w:pPr>
      <w:r>
        <w:rPr>
          <w:b/>
          <w:bCs/>
          <w:sz w:val="28"/>
          <w:szCs w:val="28"/>
        </w:rPr>
        <w:t>The Future of AI-Powered Clinical Decision Support Systems:</w:t>
      </w:r>
    </w:p>
    <w:p w14:paraId="12F8266A" w14:textId="77777777" w:rsidR="000773A3" w:rsidRDefault="000773A3" w:rsidP="000773A3">
      <w:pPr>
        <w:spacing w:after="2880"/>
        <w:jc w:val="center"/>
      </w:pPr>
      <w:r>
        <w:rPr>
          <w:b/>
          <w:bCs/>
          <w:sz w:val="28"/>
          <w:szCs w:val="28"/>
        </w:rPr>
        <w:t>A 2031-2036 Scenario Analysis</w:t>
      </w:r>
    </w:p>
    <w:p w14:paraId="54E6669B" w14:textId="77777777" w:rsidR="000773A3" w:rsidRDefault="000773A3" w:rsidP="000773A3">
      <w:pPr>
        <w:jc w:val="center"/>
      </w:pPr>
      <w:r>
        <w:rPr>
          <w:szCs w:val="24"/>
        </w:rPr>
        <w:t>Duc Nguyen</w:t>
      </w:r>
    </w:p>
    <w:p w14:paraId="25FB27B2" w14:textId="77777777" w:rsidR="000773A3" w:rsidRDefault="000773A3" w:rsidP="000773A3">
      <w:pPr>
        <w:jc w:val="center"/>
      </w:pPr>
      <w:r>
        <w:rPr>
          <w:szCs w:val="24"/>
        </w:rPr>
        <w:t>ITAI 4375</w:t>
      </w:r>
    </w:p>
    <w:p w14:paraId="2F2E93E8" w14:textId="77777777" w:rsidR="000773A3" w:rsidRDefault="000773A3" w:rsidP="000773A3">
      <w:pPr>
        <w:jc w:val="center"/>
      </w:pPr>
      <w:r>
        <w:rPr>
          <w:szCs w:val="24"/>
        </w:rPr>
        <w:t>Instructor: Dr. Doreen Rosenstrauch</w:t>
      </w:r>
    </w:p>
    <w:p w14:paraId="28ED069F" w14:textId="77777777" w:rsidR="000773A3" w:rsidRDefault="000773A3" w:rsidP="000773A3">
      <w:pPr>
        <w:jc w:val="center"/>
      </w:pPr>
      <w:r>
        <w:rPr>
          <w:szCs w:val="24"/>
        </w:rPr>
        <w:t>February 10, 2026</w:t>
      </w:r>
    </w:p>
    <w:p w14:paraId="2823C559" w14:textId="77777777" w:rsidR="000773A3" w:rsidRDefault="000773A3" w:rsidP="000773A3">
      <w:r>
        <w:br w:type="page"/>
      </w:r>
    </w:p>
    <w:p w14:paraId="3D51D143" w14:textId="0AD4CD58" w:rsidR="000773A3" w:rsidRDefault="000773A3" w:rsidP="00391604">
      <w:pPr>
        <w:pStyle w:val="Heading1"/>
        <w:jc w:val="center"/>
      </w:pPr>
      <w:r>
        <w:lastRenderedPageBreak/>
        <w:t>The Future of AI-Powered Clinical Decision Support Systems:</w:t>
      </w:r>
      <w:r w:rsidR="00391604">
        <w:t xml:space="preserve"> </w:t>
      </w:r>
      <w:r>
        <w:t>A 2031-2036 Scenario Analysis</w:t>
      </w:r>
    </w:p>
    <w:p w14:paraId="06D5C964" w14:textId="77777777" w:rsidR="000773A3" w:rsidRDefault="000773A3" w:rsidP="000773A3">
      <w:pPr>
        <w:spacing w:after="240"/>
      </w:pPr>
      <w:r>
        <w:t>Healthcare delivery faces mounting pressures: escalating diagnostic complexity, administrative burdens contributing to clinician burnout, and fragmented care coordination that compromises patient safety (Topol, 2019). Simultaneously, the volume of clinical data—from genomic sequencing to continuous wearable monitoring—has exceeded human cognitive processing capacity. Clinical Decision Support Systems (CDSS) represent a technological intervention with potential to address these systemic challenges. Platforms like Glass Health already demonstrate how large language models (LLMs) can generate differential diagnoses and draft clinical plans anchored in peer-reviewed guidelines (Glass Health, n.d.). This paper envisions how AI-powered CDSS will evolve between 2031 and 2036, transforming from reactive alert systems into intelligent clinical copilots seamlessly integrated within healthcare workflows.</w:t>
      </w:r>
    </w:p>
    <w:p w14:paraId="529BB0D5" w14:textId="77777777" w:rsidR="000773A3" w:rsidRDefault="000773A3" w:rsidP="000773A3">
      <w:pPr>
        <w:pStyle w:val="Heading2"/>
        <w:jc w:val="center"/>
      </w:pPr>
      <w:r>
        <w:t>Current State of CDSS: Limitations and Opportunities</w:t>
      </w:r>
    </w:p>
    <w:p w14:paraId="39DBBB5D" w14:textId="77777777" w:rsidR="000773A3" w:rsidRDefault="000773A3" w:rsidP="000773A3">
      <w:pPr>
        <w:spacing w:after="240"/>
      </w:pPr>
      <w:r>
        <w:t>Contemporary CDSS implementations primarily rely on rule-based algorithms that trigger alerts when predefined clinical parameters are met. These systems have demonstrated efficacy in reducing medication errors and improving adherence to evidence-based protocols (Chen et al., 2022). However, they suffer from significant limitations including alert fatigue, poor contextual awareness, and inability to synthesize complex multimodal data (Sutton et al., 2020). Current systems typically operate as isolated modules within electronic health records (EHRs), requiring clinicians to actively query them rather than proactively providing contextual intelligence.</w:t>
      </w:r>
    </w:p>
    <w:p w14:paraId="3DAFAC69" w14:textId="77777777" w:rsidR="000773A3" w:rsidRDefault="000773A3" w:rsidP="000773A3">
      <w:pPr>
        <w:spacing w:after="240"/>
      </w:pPr>
      <w:r>
        <w:t xml:space="preserve">Glass Health represents an evolutionary step beyond traditional CDSS. The platform utilizes LLMs to process natural language patient presentations and generate ranked differential </w:t>
      </w:r>
      <w:r>
        <w:lastRenderedPageBreak/>
        <w:t>diagnoses supported by clinical guidelines. However, as a standalone web application requiring manual data entry, it operates outside the clinical workflow and lacks integration with EHR data, imaging systems, laboratory interfaces, and other health information technology infrastructure. The future scenario described below addresses these integration challenges while expanding capabilities far beyond current implementations.</w:t>
      </w:r>
    </w:p>
    <w:p w14:paraId="177618E1" w14:textId="77777777" w:rsidR="000773A3" w:rsidRDefault="000773A3" w:rsidP="000773A3">
      <w:pPr>
        <w:pStyle w:val="Heading2"/>
        <w:jc w:val="center"/>
      </w:pPr>
      <w:r>
        <w:t>Future Scenario (2031-2036): AI as Intelligent Clinical Copilot</w:t>
      </w:r>
    </w:p>
    <w:p w14:paraId="28A53653" w14:textId="77777777" w:rsidR="000773A3" w:rsidRDefault="000773A3" w:rsidP="000773A3">
      <w:pPr>
        <w:pStyle w:val="Heading2"/>
        <w:jc w:val="center"/>
      </w:pPr>
      <w:r>
        <w:t>Specific Capabilities of Advanced AI-CDSS</w:t>
      </w:r>
    </w:p>
    <w:p w14:paraId="6521C5AC" w14:textId="77777777" w:rsidR="000773A3" w:rsidRDefault="000773A3" w:rsidP="000773A3">
      <w:pPr>
        <w:spacing w:after="240"/>
      </w:pPr>
      <w:r>
        <w:t>By the mid-2030s, AI-powered CDSS will evolve into sophisticated clinical reasoning engines embedded directly within EHR platforms. These systems will incorporate four transformative capabilities that distinguish them from current implementations.</w:t>
      </w:r>
    </w:p>
    <w:p w14:paraId="5BA9482D" w14:textId="5DC46F22" w:rsidR="000773A3" w:rsidRDefault="000773A3" w:rsidP="000773A3">
      <w:pPr>
        <w:spacing w:after="240"/>
      </w:pPr>
      <w:r>
        <w:rPr>
          <w:i/>
          <w:iCs/>
        </w:rPr>
        <w:t>Multimodal diagnostic reasoning</w:t>
      </w:r>
      <w:r>
        <w:t xml:space="preserve"> will synthesize structured data (laboratory values, vital signs, medication lists) alongside unstructured information (clinical notes, radiology reports, pathology findings) and external data streams (wearable device metrics, patient-reported outcomes via mobile applications) to produce ranked differential diagnoses with quantified uncertainty ranges. Unlike Glass Health's current text-based input model, future systems will automatically ingest data from connected health systems, eliminating manual transcription and enabling real-time analysis. For example, when a patient presents with chest pain, the AI-CDSS will simultaneously analyze the electrocardiogram, troponin trend, recent stress test results, and clinical documentation to generate probabilistic assessments of acute coronary syndrome, pulmonary embolism, aortic dissection, and other </w:t>
      </w:r>
      <w:r w:rsidR="00391604">
        <w:t>possibilities</w:t>
      </w:r>
      <w:r>
        <w:t xml:space="preserve"> dynamically as new test results become available.</w:t>
      </w:r>
    </w:p>
    <w:p w14:paraId="0842C762" w14:textId="77777777" w:rsidR="000773A3" w:rsidRDefault="000773A3" w:rsidP="000773A3">
      <w:pPr>
        <w:spacing w:after="240"/>
      </w:pPr>
      <w:r>
        <w:rPr>
          <w:i/>
          <w:iCs/>
        </w:rPr>
        <w:lastRenderedPageBreak/>
        <w:t>Evidence-linked care pathways</w:t>
      </w:r>
      <w:r>
        <w:t xml:space="preserve"> will automatically align recommendations with national guidelines from organizations such as the American College of Cardiology and Infectious Diseases Society of America, while providing transparent citations to supporting literature and explanations of clinical reasoning. This capability extends Glass Health's current approach by maintaining continuously updated knowledge bases that reflect emerging research, incorporating institutional clinical protocols, and adapting recommendations based on patient-specific contraindications, allergies, and preferences. The system will highlight areas of clinical uncertainty where evidence is limited or conflicting, enabling informed shared decision-making with patients.</w:t>
      </w:r>
    </w:p>
    <w:p w14:paraId="04E7B6B3" w14:textId="15463AB6" w:rsidR="000773A3" w:rsidRDefault="000773A3" w:rsidP="000773A3">
      <w:pPr>
        <w:spacing w:after="240"/>
      </w:pPr>
      <w:r>
        <w:rPr>
          <w:i/>
          <w:iCs/>
        </w:rPr>
        <w:t>Predictive risk modeling</w:t>
      </w:r>
      <w:r>
        <w:t xml:space="preserve"> will identify patients at risk for clinical deterioration, hospital readmission, or adverse drug events before symptomatic manifestations. Machine learning models trained on millions of patient trajectories will detect subtle patterns invisible to human </w:t>
      </w:r>
      <w:r w:rsidR="00391604">
        <w:t xml:space="preserve">observers, </w:t>
      </w:r>
      <w:r>
        <w:t xml:space="preserve">for instance, recognizing that a specific constellation of laboratory trends, vital sign variability, and nursing documentation language predicts septic shock 6-12 hours before conventional early warning scores would trigger. This predictive capability enables </w:t>
      </w:r>
      <w:r w:rsidR="00391604">
        <w:t>initiative-taking</w:t>
      </w:r>
      <w:r>
        <w:t xml:space="preserve"> interventions that may prevent adverse outcomes rather than reacting to established complications.</w:t>
      </w:r>
    </w:p>
    <w:p w14:paraId="48589811" w14:textId="77777777" w:rsidR="000773A3" w:rsidRDefault="000773A3" w:rsidP="000773A3">
      <w:pPr>
        <w:spacing w:after="240"/>
      </w:pPr>
      <w:r>
        <w:rPr>
          <w:i/>
          <w:iCs/>
        </w:rPr>
        <w:t>Administrative automation</w:t>
      </w:r>
      <w:r>
        <w:t xml:space="preserve"> will draft clinical documentation, suggest appropriate billing codes, generate discharge summaries, and create patient education materials tailored to health literacy levels. This functionality directly addresses clinician burnout driven by documentation burden, which currently consumes nearly two hours for every hour of direct patient care (Topol, 2019). By automating routine documentation tasks while maintaining human oversight and approval, </w:t>
      </w:r>
      <w:r>
        <w:lastRenderedPageBreak/>
        <w:t>AI-CDSS will enable clinicians to redirect cognitive resources toward higher-value activities including patient communication and complex clinical reasoning.</w:t>
      </w:r>
    </w:p>
    <w:p w14:paraId="09CE9002" w14:textId="77777777" w:rsidR="000773A3" w:rsidRDefault="000773A3" w:rsidP="000773A3">
      <w:pPr>
        <w:pStyle w:val="Heading2"/>
        <w:jc w:val="center"/>
      </w:pPr>
      <w:r>
        <w:t>Healthcare Professional Interaction with AI-CDSS</w:t>
      </w:r>
    </w:p>
    <w:p w14:paraId="5477494F" w14:textId="13A15A52" w:rsidR="000773A3" w:rsidRDefault="000773A3" w:rsidP="000773A3">
      <w:pPr>
        <w:spacing w:after="240"/>
      </w:pPr>
      <w:r>
        <w:t xml:space="preserve">The operational model will be predicated on human-in-the-loop design—AI augments rather than replaces clinical judgment. Healthcare professionals will interact with AI-CDSS through multiple modalities seamlessly integrated within existing workflows. As clinicians document patient encounters in the EHR, the system will operate as embedded intelligence, automatically analyzing data as it is entered and providing contextual recommendations at natural decision points. For instance, when prescribing a medication, the AI might immediately flag potential drug interactions, suggest dose adjustments based on renal function, or recommend concurrent laboratory </w:t>
      </w:r>
      <w:r w:rsidR="00391604">
        <w:t>monitoring</w:t>
      </w:r>
      <w:r>
        <w:t xml:space="preserve"> without requiring the clinician to navigate separate modules or interrupt their workflow.</w:t>
      </w:r>
    </w:p>
    <w:p w14:paraId="7F443875" w14:textId="595EA3EA" w:rsidR="000773A3" w:rsidRDefault="000773A3" w:rsidP="000773A3">
      <w:pPr>
        <w:spacing w:after="240"/>
      </w:pPr>
      <w:r>
        <w:t xml:space="preserve">Voice-enabled and mobile interfaces will reduce interaction friction. During bedside rounds, a clinician could verbally query the system for differential diagnoses, current evidence on treatment options, or patient-specific risk assessments, receiving synthesized responses in real time. This conversational interaction model mirrors natural clinical consultation patterns, making </w:t>
      </w:r>
      <w:r w:rsidR="00391604">
        <w:t>technology</w:t>
      </w:r>
      <w:r>
        <w:t xml:space="preserve"> feel less like a computer system and more like an always-available clinical colleague.</w:t>
      </w:r>
    </w:p>
    <w:p w14:paraId="7736DBC2" w14:textId="77777777" w:rsidR="000773A3" w:rsidRDefault="000773A3" w:rsidP="000773A3">
      <w:pPr>
        <w:spacing w:after="240"/>
      </w:pPr>
      <w:r>
        <w:t xml:space="preserve">Critically, each AI recommendation will be accompanied by explainability layers showing the supporting evidence, patient-specific data elements that triggered the recommendation, and quantified uncertainty estimates. Clinicians will maintain final decision authority, with the ability to approve, modify, or reject AI suggestions. All interactions will be logged for quality assurance, with mechanisms to provide feedback when the system generates inappropriate </w:t>
      </w:r>
      <w:r>
        <w:lastRenderedPageBreak/>
        <w:t>recommendations, enabling continuous learning and improvement. This design aligns with U.S. Food and Drug Administration (FDA) guidance emphasizing transparency and independent clinician review for clinical decision support software (U.S. Food and Drug Administration, 2026).</w:t>
      </w:r>
    </w:p>
    <w:p w14:paraId="0E999A0A" w14:textId="77777777" w:rsidR="000773A3" w:rsidRDefault="000773A3" w:rsidP="000773A3">
      <w:pPr>
        <w:pStyle w:val="Heading2"/>
        <w:jc w:val="center"/>
      </w:pPr>
      <w:r>
        <w:t>Potential Benefits for Patient Care and Outcomes</w:t>
      </w:r>
    </w:p>
    <w:p w14:paraId="35B72F26" w14:textId="77777777" w:rsidR="000773A3" w:rsidRDefault="000773A3" w:rsidP="000773A3">
      <w:pPr>
        <w:spacing w:after="240"/>
      </w:pPr>
      <w:r>
        <w:t>Systematic reviews of contemporary CDSS demonstrate improvements in care processes and medication safety, though effects on hard clinical outcomes have been variable (Chen et al., 2022). Advanced AI-CDSS, with enhanced reasoning capabilities and comprehensive data integration, may achieve more consistent improvements in patient-centered outcomes. Earlier detection of conditions such as cancer, cardiovascular disease, and sepsis—facilitated by AI pattern recognition across complex datasets—could enable therapeutic interventions at more amenable disease stages, potentially improving survival and quality of life.</w:t>
      </w:r>
    </w:p>
    <w:p w14:paraId="4F98A383" w14:textId="77777777" w:rsidR="000773A3" w:rsidRDefault="000773A3" w:rsidP="000773A3">
      <w:pPr>
        <w:spacing w:after="240"/>
      </w:pPr>
      <w:r>
        <w:t>AI-CDSS could reduce unwarranted variation in care quality, a persistent driver of healthcare disparities. By standardizing access to evidence-based recommendations regardless of clinician experience or institutional resources, these systems could elevate baseline care quality across diverse settings. A rural community hospital clinician would access the same clinical intelligence as one at an academic medical center, potentially mitigating geographic disparities (Sutton et al., 2020).</w:t>
      </w:r>
    </w:p>
    <w:p w14:paraId="2DC5C935" w14:textId="77777777" w:rsidR="000773A3" w:rsidRDefault="000773A3" w:rsidP="000773A3">
      <w:pPr>
        <w:spacing w:after="240"/>
      </w:pPr>
      <w:r>
        <w:t xml:space="preserve">Administrative automation promises significant reductions in clinician burnout. By streamlining documentation workflows, these systems could restore time for direct patient interaction and reduce the bureaucratic burden that drives many healthcare professionals from clinical practice. </w:t>
      </w:r>
      <w:r>
        <w:lastRenderedPageBreak/>
        <w:t>This benefit extends beyond individual wellbeing to have system-level impacts on workforce retention and recruitment.</w:t>
      </w:r>
    </w:p>
    <w:p w14:paraId="17C4D052" w14:textId="3C47FFC9" w:rsidR="000773A3" w:rsidRDefault="000773A3" w:rsidP="000773A3">
      <w:pPr>
        <w:spacing w:after="240"/>
      </w:pPr>
      <w:r>
        <w:t xml:space="preserve">Economic benefits include reduced healthcare costs through prevented complications, decreased readmissions, and more efficient resource utilization. Predictive models could enable </w:t>
      </w:r>
      <w:r w:rsidR="00391604">
        <w:t>initiative-taking</w:t>
      </w:r>
      <w:r>
        <w:t xml:space="preserve"> interventions that prevent expensive acute care episodes, while diagnostic optimization could reduce unnecessary testing driven by diagnostic uncertainty. Additionally, more accurate risk stratification could support population health management initiatives and value-based care models.</w:t>
      </w:r>
    </w:p>
    <w:p w14:paraId="74789A00" w14:textId="77777777" w:rsidR="000773A3" w:rsidRDefault="000773A3" w:rsidP="000773A3">
      <w:pPr>
        <w:pStyle w:val="Heading2"/>
        <w:jc w:val="center"/>
      </w:pPr>
      <w:r>
        <w:t>Challenges and Ethical Considerations</w:t>
      </w:r>
    </w:p>
    <w:p w14:paraId="51B8E564" w14:textId="6D75056C" w:rsidR="000773A3" w:rsidRDefault="000773A3" w:rsidP="000773A3">
      <w:pPr>
        <w:spacing w:after="240"/>
      </w:pPr>
      <w:r>
        <w:rPr>
          <w:i/>
          <w:iCs/>
        </w:rPr>
        <w:t>Algorithmic bias</w:t>
      </w:r>
      <w:r>
        <w:t xml:space="preserve"> represents </w:t>
      </w:r>
      <w:r w:rsidR="00391604">
        <w:t>the</w:t>
      </w:r>
      <w:r>
        <w:t xml:space="preserve"> most significant ethical concern. AI models trained </w:t>
      </w:r>
      <w:r w:rsidR="00391604">
        <w:t>on</w:t>
      </w:r>
      <w:r>
        <w:t xml:space="preserve"> data from advantaged populations may perform poorly for underrepresented demographic groups, potentially exacerbating existing health disparities. For instance, if predictive models for hospital readmission are developed using primarily commercially insured patient data, they may underestimate risk for uninsured or publicly insured patients who face different barriers to care access. Mitigating bias requires diverse training datasets, fairness audits across demographic subgroups, and continuous post-deployment monitoring for differential performance. However, technical solutions alone are insufficient—meaningful bias mitigation requires diverse development teams, input from affected communities, and governance structures that prioritize equity alongside accuracy.</w:t>
      </w:r>
    </w:p>
    <w:p w14:paraId="3D44FCAD" w14:textId="29836F54" w:rsidR="000773A3" w:rsidRDefault="000773A3" w:rsidP="000773A3">
      <w:pPr>
        <w:spacing w:after="240"/>
      </w:pPr>
      <w:r>
        <w:rPr>
          <w:i/>
          <w:iCs/>
        </w:rPr>
        <w:t xml:space="preserve">Automation </w:t>
      </w:r>
      <w:r w:rsidR="00391604">
        <w:rPr>
          <w:i/>
          <w:iCs/>
        </w:rPr>
        <w:t>bias</w:t>
      </w:r>
      <w:r w:rsidR="00391604">
        <w:t xml:space="preserve">es </w:t>
      </w:r>
      <w:r>
        <w:t xml:space="preserve">the tendency to over-rely on automated recommendations while discounting contradictory information—poses risks to patient safety. Time-pressured or cognitively fatigued clinicians might uncritically accept AI-generated diagnoses without adequate independent </w:t>
      </w:r>
      <w:r>
        <w:lastRenderedPageBreak/>
        <w:t>evaluation. This risk is compounded by concerns that overreliance on algorithmic guidance could erode clinical reasoning skills, particularly among trainees. Addressing automation bias requires system design features that encourage critical evaluation (such as prominent uncertainty displays) and medical education curricula that teach appropriate AI tool utilization while maintaining independent diagnostic capabilities.</w:t>
      </w:r>
    </w:p>
    <w:p w14:paraId="1A9E6067" w14:textId="77777777" w:rsidR="000773A3" w:rsidRDefault="000773A3" w:rsidP="000773A3">
      <w:pPr>
        <w:spacing w:after="240"/>
      </w:pPr>
      <w:r>
        <w:rPr>
          <w:i/>
          <w:iCs/>
        </w:rPr>
        <w:t>Data privacy and security</w:t>
      </w:r>
      <w:r>
        <w:t xml:space="preserve"> concerns intensify as AI-CDSS functionality depends on comprehensive access to sensitive patient information including genetic data, mental health records, substance use history, and continuous biometric monitoring. The integration of such data creates attractive targets for cyberattacks and potential vectors for unauthorized disclosure. Patients may legitimately question how their data is used for model training, whether they can opt out of AI-assisted care, and how algorithmic predictions might affect insurance coverage or employment. Robust data governance frameworks encompassing technical security measures, legal compliance, and transparency mechanisms are essential for ethical deployment.</w:t>
      </w:r>
    </w:p>
    <w:p w14:paraId="48E503F1" w14:textId="77777777" w:rsidR="000773A3" w:rsidRDefault="000773A3" w:rsidP="000773A3">
      <w:pPr>
        <w:spacing w:after="240"/>
      </w:pPr>
      <w:r>
        <w:rPr>
          <w:i/>
          <w:iCs/>
        </w:rPr>
        <w:t>Liability and accountability</w:t>
      </w:r>
      <w:r>
        <w:t xml:space="preserve"> frameworks remain uncertain. When AI recommendations contribute to adverse outcomes, questions arise about responsibility allocation among clinicians, healthcare institutions, and technology vendors. Current legal frameworks developed for human-delivered care may prove inadequate for these scenarios. Clarifying liability will require coordination between legal scholars, healthcare institutions, technology developers, and regulatory bodies to establish clear standards while avoiding chilling effects on beneficial innovation.</w:t>
      </w:r>
    </w:p>
    <w:p w14:paraId="14D51B0E" w14:textId="77777777" w:rsidR="000773A3" w:rsidRDefault="000773A3" w:rsidP="000773A3">
      <w:pPr>
        <w:pStyle w:val="Heading2"/>
        <w:jc w:val="center"/>
      </w:pPr>
      <w:r>
        <w:t>Conclusion: Impact on the Future of Healthcare</w:t>
      </w:r>
    </w:p>
    <w:p w14:paraId="4E7BAE25" w14:textId="77777777" w:rsidR="000773A3" w:rsidRDefault="000773A3" w:rsidP="000773A3">
      <w:pPr>
        <w:spacing w:after="240"/>
      </w:pPr>
      <w:r>
        <w:t xml:space="preserve">AI-powered Clinical Decision Support Systems represent a transformative technology with potential to address healthcare's most pressing challenges—diagnostic errors, clinician burnout, </w:t>
      </w:r>
      <w:r>
        <w:lastRenderedPageBreak/>
        <w:t>care fragmentation, and outcomes variability. Between 2031 and 2036, these systems will likely evolve from experimental prototypes into foundational infrastructure for clinical practice. Their capabilities will extend far beyond current implementations to encompass sophisticated multimodal reasoning, predictive analytics, evidence synthesis, and administrative automation.</w:t>
      </w:r>
    </w:p>
    <w:p w14:paraId="79D494E9" w14:textId="77777777" w:rsidR="000773A3" w:rsidRDefault="000773A3" w:rsidP="000773A3">
      <w:pPr>
        <w:spacing w:after="240"/>
      </w:pPr>
      <w:r>
        <w:t>However, technological capability alone does not ensure beneficial impact. The trajectory of AI-CDSS will be shaped by critical decisions about system design, implementation approaches, regulatory oversight, and ethical governance. Realizing the promise requires intentional effort to mitigate risks including algorithmic bias, automation bias, privacy violations, and liability uncertainty. Healthcare institutions must approach AI adoption thoughtfully, with robust validation protocols, ongoing monitoring systems, and genuine commitment to equity and patient safety.</w:t>
      </w:r>
    </w:p>
    <w:p w14:paraId="6B6195D2" w14:textId="6F26E616" w:rsidR="000773A3" w:rsidRDefault="000773A3" w:rsidP="000773A3">
      <w:pPr>
        <w:spacing w:after="240"/>
      </w:pPr>
      <w:r>
        <w:t xml:space="preserve">The future of clinical practice will </w:t>
      </w:r>
      <w:r w:rsidR="00391604">
        <w:t>be</w:t>
      </w:r>
      <w:r>
        <w:t xml:space="preserve"> characterized by deep human-AI collaboration, with machine intelligence enhancing rather than replacing human judgment. Success will be measured not by algorithmic sophistication but by improvements in patient outcomes, clinician wellbeing, and healthcare equity. Compared to today's rule-based alert systems, the AI-CDSS of 2031-2036 will represent a fundamental </w:t>
      </w:r>
      <w:r w:rsidR="00391604">
        <w:t>change in basic assumptions</w:t>
      </w:r>
      <w:r>
        <w:t xml:space="preserve">—from reactive tools that interrupt workflow to </w:t>
      </w:r>
      <w:r w:rsidR="00391604">
        <w:t>initiative-taking</w:t>
      </w:r>
      <w:r>
        <w:t xml:space="preserve"> partners that seamlessly augment clinical reasoning. This evolution promises to help realize the vision of more accurate, efficient, and humane medical care for all patients, provided that technological optimism is balanced with ethical vigilance and commitment to equitable implementation.</w:t>
      </w:r>
    </w:p>
    <w:p w14:paraId="19BD77C7" w14:textId="77777777" w:rsidR="000773A3" w:rsidRDefault="000773A3" w:rsidP="000773A3">
      <w:r>
        <w:br w:type="page"/>
      </w:r>
    </w:p>
    <w:p w14:paraId="14A8C2B8" w14:textId="77777777" w:rsidR="000773A3" w:rsidRDefault="000773A3" w:rsidP="000773A3">
      <w:pPr>
        <w:pStyle w:val="Heading1"/>
        <w:jc w:val="center"/>
      </w:pPr>
      <w:r>
        <w:lastRenderedPageBreak/>
        <w:t>References</w:t>
      </w:r>
    </w:p>
    <w:p w14:paraId="2942D3E1" w14:textId="77777777" w:rsidR="000773A3" w:rsidRDefault="000773A3" w:rsidP="000773A3">
      <w:r>
        <w:t>Chen, W., Howard, K., Gorham, G., O'Bryan, C. M., Coffey, P., Balasubramanya, B., Abeyaratne,</w:t>
      </w:r>
    </w:p>
    <w:p w14:paraId="03C719B6" w14:textId="77777777" w:rsidR="000773A3" w:rsidRDefault="000773A3" w:rsidP="000773A3">
      <w:pPr>
        <w:spacing w:after="240"/>
      </w:pPr>
      <w:r>
        <w:t xml:space="preserve">A., &amp; Cass, A. (2022). Design, effectiveness, and economic outcomes of contemporary chronic disease clinical decision support systems: A systematic review and meta-analysis. </w:t>
      </w:r>
      <w:r>
        <w:rPr>
          <w:i/>
          <w:iCs/>
        </w:rPr>
        <w:t>Journal of the American Medical Informatics Association, 29</w:t>
      </w:r>
      <w:r>
        <w:t>(10), 1757–1772. https://doi.org/10.1093/jamia/ocac110</w:t>
      </w:r>
    </w:p>
    <w:p w14:paraId="08320CB9" w14:textId="77777777" w:rsidR="000773A3" w:rsidRDefault="000773A3" w:rsidP="000773A3">
      <w:pPr>
        <w:spacing w:after="240"/>
      </w:pPr>
      <w:r>
        <w:t xml:space="preserve">Glass Health. (n.d.). </w:t>
      </w:r>
      <w:r>
        <w:rPr>
          <w:i/>
          <w:iCs/>
        </w:rPr>
        <w:t>AI clinical decision support features</w:t>
      </w:r>
      <w:r>
        <w:t>. https://glass.health/features</w:t>
      </w:r>
    </w:p>
    <w:p w14:paraId="031ED221" w14:textId="77777777" w:rsidR="000773A3" w:rsidRDefault="000773A3" w:rsidP="000773A3">
      <w:pPr>
        <w:spacing w:after="240"/>
      </w:pPr>
      <w:r>
        <w:t xml:space="preserve">Sutton, R. T., Pincock, D., Baumgart, D. C., Sadowski, D. C., Fedorak, R. N., &amp; Kroeker, K. I. (2020). An overview of clinical decision support systems: Benefits, risks, and strategies for success. </w:t>
      </w:r>
      <w:r>
        <w:rPr>
          <w:i/>
          <w:iCs/>
        </w:rPr>
        <w:t>NPJ Digital Medicine, 3</w:t>
      </w:r>
      <w:r>
        <w:t>(17). https://doi.org/10.1038/s41746-020-0221-y</w:t>
      </w:r>
    </w:p>
    <w:p w14:paraId="506FE2F3" w14:textId="77777777" w:rsidR="000773A3" w:rsidRDefault="000773A3" w:rsidP="000773A3">
      <w:pPr>
        <w:spacing w:after="240"/>
      </w:pPr>
      <w:r>
        <w:t xml:space="preserve">Topol, E. (2019). </w:t>
      </w:r>
      <w:r>
        <w:rPr>
          <w:i/>
          <w:iCs/>
        </w:rPr>
        <w:t>Deep medicine: How artificial intelligence can make healthcare human again</w:t>
      </w:r>
      <w:r>
        <w:t>. Basic Books.</w:t>
      </w:r>
    </w:p>
    <w:p w14:paraId="6F626F80" w14:textId="77777777" w:rsidR="000773A3" w:rsidRDefault="000773A3" w:rsidP="000773A3">
      <w:pPr>
        <w:spacing w:after="240"/>
      </w:pPr>
      <w:r>
        <w:t xml:space="preserve">U.S. Food and Drug Administration. (2026). </w:t>
      </w:r>
      <w:r>
        <w:rPr>
          <w:i/>
          <w:iCs/>
        </w:rPr>
        <w:t>Clinical decision support software: Guidance for industry and Food and Drug Administration staff</w:t>
      </w:r>
      <w:r>
        <w:t>. https://www.fda.gov/regulatory-information/search-fda-guidance-documents/clinical-decision-support-software</w:t>
      </w:r>
    </w:p>
    <w:p w14:paraId="03FE0DA0" w14:textId="682ADB81" w:rsidR="00CF505D" w:rsidRPr="000773A3" w:rsidRDefault="00CF505D" w:rsidP="000773A3"/>
    <w:sectPr w:rsidR="00CF505D" w:rsidRPr="000773A3" w:rsidSect="000773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C1696"/>
    <w:multiLevelType w:val="hybridMultilevel"/>
    <w:tmpl w:val="E0A22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150026">
    <w:abstractNumId w:val="8"/>
  </w:num>
  <w:num w:numId="2" w16cid:durableId="2031561402">
    <w:abstractNumId w:val="6"/>
  </w:num>
  <w:num w:numId="3" w16cid:durableId="915556647">
    <w:abstractNumId w:val="5"/>
  </w:num>
  <w:num w:numId="4" w16cid:durableId="204607760">
    <w:abstractNumId w:val="4"/>
  </w:num>
  <w:num w:numId="5" w16cid:durableId="1300765364">
    <w:abstractNumId w:val="7"/>
  </w:num>
  <w:num w:numId="6" w16cid:durableId="2109041846">
    <w:abstractNumId w:val="3"/>
  </w:num>
  <w:num w:numId="7" w16cid:durableId="328680076">
    <w:abstractNumId w:val="2"/>
  </w:num>
  <w:num w:numId="8" w16cid:durableId="257295262">
    <w:abstractNumId w:val="1"/>
  </w:num>
  <w:num w:numId="9" w16cid:durableId="523979348">
    <w:abstractNumId w:val="0"/>
  </w:num>
  <w:num w:numId="10" w16cid:durableId="149442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3A3"/>
    <w:rsid w:val="0015074B"/>
    <w:rsid w:val="001A7722"/>
    <w:rsid w:val="0029639D"/>
    <w:rsid w:val="002C7D61"/>
    <w:rsid w:val="00326F90"/>
    <w:rsid w:val="00391604"/>
    <w:rsid w:val="00684D7C"/>
    <w:rsid w:val="00A1343F"/>
    <w:rsid w:val="00AA1D8D"/>
    <w:rsid w:val="00B47730"/>
    <w:rsid w:val="00CB0664"/>
    <w:rsid w:val="00CF505D"/>
    <w:rsid w:val="00DB0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7AC25"/>
  <w14:defaultImageDpi w14:val="300"/>
  <w15:docId w15:val="{FE2F40CA-BF32-3A40-BEF1-55AB23D5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Avellaneda-Miranda</cp:lastModifiedBy>
  <cp:revision>2</cp:revision>
  <dcterms:created xsi:type="dcterms:W3CDTF">2026-02-11T04:19:00Z</dcterms:created>
  <dcterms:modified xsi:type="dcterms:W3CDTF">2026-02-11T04:19:00Z</dcterms:modified>
  <cp:category/>
</cp:coreProperties>
</file>