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10F1" w14:textId="77777777" w:rsidR="00CD4F98" w:rsidRDefault="00000000">
      <w:pPr>
        <w:spacing w:before="4320"/>
        <w:jc w:val="center"/>
      </w:pPr>
      <w:r>
        <w:rPr>
          <w:b/>
          <w:bCs/>
          <w:sz w:val="28"/>
          <w:szCs w:val="28"/>
        </w:rPr>
        <w:t>Machine Learning Prognostic Model for Severe Fever with Thrombocytopenia Syndrome</w:t>
      </w:r>
    </w:p>
    <w:p w14:paraId="3CEFD1A8" w14:textId="77777777" w:rsidR="00CD4F98" w:rsidRDefault="00CD4F98">
      <w:pPr>
        <w:spacing w:before="960"/>
        <w:jc w:val="center"/>
      </w:pPr>
    </w:p>
    <w:p w14:paraId="574AE748" w14:textId="77777777" w:rsidR="00CD4F98" w:rsidRDefault="00CD4F98">
      <w:pPr>
        <w:spacing w:before="960"/>
        <w:jc w:val="center"/>
      </w:pPr>
    </w:p>
    <w:p w14:paraId="6F979968" w14:textId="110E15F8" w:rsidR="00CD4F98" w:rsidRDefault="00640C77">
      <w:pPr>
        <w:jc w:val="center"/>
      </w:pPr>
      <w:r>
        <w:t>Duc Nguyen</w:t>
      </w:r>
    </w:p>
    <w:p w14:paraId="25E52C56" w14:textId="77777777" w:rsidR="00CD4F98" w:rsidRDefault="00000000">
      <w:pPr>
        <w:jc w:val="center"/>
      </w:pPr>
      <w:r>
        <w:t>ITAI 4375 – AI in Healthcare</w:t>
      </w:r>
    </w:p>
    <w:p w14:paraId="63E294F7" w14:textId="77777777" w:rsidR="00CD4F98" w:rsidRDefault="00000000">
      <w:pPr>
        <w:jc w:val="center"/>
      </w:pPr>
      <w:r>
        <w:t>Dr. Rosenstrauch</w:t>
      </w:r>
    </w:p>
    <w:p w14:paraId="0679AAA4" w14:textId="77777777" w:rsidR="00CD4F98" w:rsidRDefault="00000000">
      <w:pPr>
        <w:jc w:val="center"/>
      </w:pPr>
      <w:r>
        <w:t>February 16, 2026</w:t>
      </w:r>
    </w:p>
    <w:p w14:paraId="04940011" w14:textId="77777777" w:rsidR="00CD4F98" w:rsidRDefault="00000000">
      <w:pPr>
        <w:pageBreakBefore/>
      </w:pPr>
      <w:r>
        <w:lastRenderedPageBreak/>
        <w:br/>
      </w:r>
    </w:p>
    <w:p w14:paraId="3CD33F47" w14:textId="77777777" w:rsidR="00CD4F98" w:rsidRDefault="00000000">
      <w:pPr>
        <w:spacing w:line="480" w:lineRule="auto"/>
      </w:pPr>
      <w:r>
        <w:t>A recent study by Xu et al. (2025) developed a machine learning prognostic model to predict mortality in patients with Severe Fever with Thrombocytopenia Syndrome (SFTS), a tick-borne viral disease with mortality rates approaching 30%. Published in Frontiers in Microbiology, this research addresses a critical need for early risk stratification in SFTS patients, where timely intervention can significantly impact outcomes.</w:t>
      </w:r>
    </w:p>
    <w:p w14:paraId="0F2F5BFD" w14:textId="77777777" w:rsidR="00CD4F98" w:rsidRDefault="00000000">
      <w:pPr>
        <w:spacing w:line="480" w:lineRule="auto"/>
      </w:pPr>
      <w:r>
        <w:t>The prognostic model utilizes seven clinical factors routinely collected at hospital admission: consciousness level, aspartate aminotransferase (AST), urea, continuous renal replacement therapy (CRRT) requirement, lactate dehydrogenase (LDH), lymphocyte count, and mechanical ventilation status (Xu et al., 2025). Among these predictors, altered consciousness emerged as the strongest indicator of mortality risk, followed by elevated AST levels. The XGBoost algorithm analyzes these factors collectively, identifying complex interactions that may indicate patient deterioration.</w:t>
      </w:r>
    </w:p>
    <w:p w14:paraId="26E8C08B" w14:textId="77777777" w:rsidR="00CD4F98" w:rsidRDefault="00000000">
      <w:pPr>
        <w:spacing w:line="480" w:lineRule="auto"/>
      </w:pPr>
      <w:r>
        <w:t>The model demonstrated robust predictive performance across validation cohorts. Internal validation yielded an area under the curve (AUC) of 0.911, while external validation on an independent patient cohort achieved an AUC of 0.891 (Xu et al., 2025). These values indicate excellent discriminatory ability, as AUC scores above 0.9 represent highly accurate prediction. The researchers also developed a web-based clinical tool using the Streamlit framework, enabling real-time risk assessment with visual explanations of contributing factors through SHAP analysis.</w:t>
      </w:r>
    </w:p>
    <w:p w14:paraId="4A2F60D9" w14:textId="77777777" w:rsidR="00CD4F98" w:rsidRDefault="00000000">
      <w:pPr>
        <w:spacing w:line="480" w:lineRule="auto"/>
      </w:pPr>
      <w:r>
        <w:t xml:space="preserve">Several strengths distinguish this model. First, it requires only seven readily available clinical measurements, eliminating the need for specialized testing. Second, the integration of SHAP (SHapley Additive exPlanations) methodology provides interpretability, allowing clinicians to </w:t>
      </w:r>
      <w:r>
        <w:lastRenderedPageBreak/>
        <w:t>understand which factors drive each prediction. This transparency addresses common concerns about artificial intelligence functioning as an unexplainable black box. Third, successful external validation suggests potential generalizability across different healthcare settings.</w:t>
      </w:r>
    </w:p>
    <w:p w14:paraId="16A34232" w14:textId="77777777" w:rsidR="00CD4F98" w:rsidRDefault="00000000">
      <w:pPr>
        <w:spacing w:line="480" w:lineRule="auto"/>
      </w:pPr>
      <w:r>
        <w:t>However, important limitations warrant consideration. The study population consisted exclusively of patients from two hospitals in eastern China, raising questions about applicability to other geographic regions or ethnic populations (Xu et al., 2025). The retrospective design introduces potential bias from incomplete medical records. Additionally, the model performed less effectively in patients with higher severity scores, which represents a concerning limitation since these high-risk individuals require the most accurate prognostic information.</w:t>
      </w:r>
    </w:p>
    <w:p w14:paraId="102F3815" w14:textId="77777777" w:rsidR="00CD4F98" w:rsidRDefault="00000000">
      <w:pPr>
        <w:spacing w:line="480" w:lineRule="auto"/>
      </w:pPr>
      <w:r>
        <w:t>This prognostic tool would primarily benefit emergency medicine physicians and intensive care specialists managing SFTS patients. Early identification of high-risk individuals could facilitate treatment intensification, enhanced monitoring, or transfer to specialized facilities. Compared to traditional scoring systems, the model outperformed APACHE II (AUC 0.845) and SOFA (AUC 0.872) scores in the same patient population (Xu et al., 2025). The machine learning approach appears superior at detecting nuanced interactions between clinical variables that conventional scoring formulas may overlook.</w:t>
      </w:r>
    </w:p>
    <w:p w14:paraId="7E872EC7" w14:textId="77777777" w:rsidR="00CD4F98" w:rsidRDefault="00000000">
      <w:pPr>
        <w:spacing w:line="480" w:lineRule="auto"/>
      </w:pPr>
      <w:r>
        <w:t xml:space="preserve">In my assessment, this model represents a meaningful advancement in SFTS prognostication. The combination of strong predictive accuracy, practical implementation requirements, and built-in interpretability creates genuine clinical utility. The web-based interface could facilitate rapid, data-driven decision-making in a disease with limited therapeutic options. However, broader validation across diverse patient populations and prospective clinical trials are essential before widespread implementation. The reduced performance in critically ill patients particularly </w:t>
      </w:r>
      <w:r>
        <w:lastRenderedPageBreak/>
        <w:t>requires further investigation and model refinement. With appropriate validation, this tool could become a valuable component of SFTS patient assessment and management.</w:t>
      </w:r>
    </w:p>
    <w:p w14:paraId="231A8E7E" w14:textId="77777777" w:rsidR="00CD4F98" w:rsidRDefault="00000000">
      <w:pPr>
        <w:pageBreakBefore/>
      </w:pPr>
      <w:r>
        <w:lastRenderedPageBreak/>
        <w:br/>
      </w:r>
    </w:p>
    <w:p w14:paraId="4CD93789" w14:textId="77777777" w:rsidR="00CD4F98" w:rsidRDefault="00000000">
      <w:pPr>
        <w:jc w:val="center"/>
      </w:pPr>
      <w:r>
        <w:rPr>
          <w:b/>
          <w:bCs/>
        </w:rPr>
        <w:t>References</w:t>
      </w:r>
    </w:p>
    <w:p w14:paraId="443472B6" w14:textId="77777777" w:rsidR="00CD4F98" w:rsidRDefault="00CD4F98">
      <w:pPr>
        <w:spacing w:line="480" w:lineRule="auto"/>
      </w:pPr>
    </w:p>
    <w:p w14:paraId="2B219832" w14:textId="77777777" w:rsidR="00CD4F98" w:rsidRDefault="00000000">
      <w:pPr>
        <w:spacing w:line="480" w:lineRule="auto"/>
        <w:ind w:left="720" w:hanging="720"/>
      </w:pPr>
      <w:r>
        <w:t xml:space="preserve">Anthropic. (2025). </w:t>
      </w:r>
      <w:r>
        <w:rPr>
          <w:i/>
          <w:iCs/>
        </w:rPr>
        <w:t>Claude 4.5 Sonnet</w:t>
      </w:r>
      <w:r>
        <w:t xml:space="preserve"> (version claude-sonnet-4-5-20250929) [Large language model]. https://claude.ai</w:t>
      </w:r>
    </w:p>
    <w:p w14:paraId="42D8751B" w14:textId="77777777" w:rsidR="00CD4F98" w:rsidRDefault="00000000">
      <w:pPr>
        <w:spacing w:line="480" w:lineRule="auto"/>
        <w:ind w:left="720" w:hanging="720"/>
      </w:pPr>
      <w:r>
        <w:t xml:space="preserve">Xu, J.-S., Yang, K., Quan, B., Xie, J., &amp; Zheng, Y.-S. (2025). A multicenter study on developing a prognostic model for severe fever with thrombocytopenia syndrome using machine learning. </w:t>
      </w:r>
      <w:r>
        <w:rPr>
          <w:i/>
          <w:iCs/>
        </w:rPr>
        <w:t>Frontiers in Microbiology, 16</w:t>
      </w:r>
      <w:r>
        <w:t>, Article 1557922. https://doi.org/10.3389/fmicb.2025.1557922</w:t>
      </w:r>
    </w:p>
    <w:sectPr w:rsidR="00CD4F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E72"/>
    <w:multiLevelType w:val="hybridMultilevel"/>
    <w:tmpl w:val="7F289A5E"/>
    <w:lvl w:ilvl="0" w:tplc="8332A74C">
      <w:start w:val="1"/>
      <w:numFmt w:val="bullet"/>
      <w:lvlText w:val="●"/>
      <w:lvlJc w:val="left"/>
      <w:pPr>
        <w:ind w:left="720" w:hanging="360"/>
      </w:pPr>
    </w:lvl>
    <w:lvl w:ilvl="1" w:tplc="AEDE1A3A">
      <w:start w:val="1"/>
      <w:numFmt w:val="bullet"/>
      <w:lvlText w:val="○"/>
      <w:lvlJc w:val="left"/>
      <w:pPr>
        <w:ind w:left="1440" w:hanging="360"/>
      </w:pPr>
    </w:lvl>
    <w:lvl w:ilvl="2" w:tplc="9F6A4E4A">
      <w:start w:val="1"/>
      <w:numFmt w:val="bullet"/>
      <w:lvlText w:val="■"/>
      <w:lvlJc w:val="left"/>
      <w:pPr>
        <w:ind w:left="2160" w:hanging="360"/>
      </w:pPr>
    </w:lvl>
    <w:lvl w:ilvl="3" w:tplc="E4E48AD8">
      <w:start w:val="1"/>
      <w:numFmt w:val="bullet"/>
      <w:lvlText w:val="●"/>
      <w:lvlJc w:val="left"/>
      <w:pPr>
        <w:ind w:left="2880" w:hanging="360"/>
      </w:pPr>
    </w:lvl>
    <w:lvl w:ilvl="4" w:tplc="1160E698">
      <w:start w:val="1"/>
      <w:numFmt w:val="bullet"/>
      <w:lvlText w:val="○"/>
      <w:lvlJc w:val="left"/>
      <w:pPr>
        <w:ind w:left="3600" w:hanging="360"/>
      </w:pPr>
    </w:lvl>
    <w:lvl w:ilvl="5" w:tplc="E26C056E">
      <w:start w:val="1"/>
      <w:numFmt w:val="bullet"/>
      <w:lvlText w:val="■"/>
      <w:lvlJc w:val="left"/>
      <w:pPr>
        <w:ind w:left="4320" w:hanging="360"/>
      </w:pPr>
    </w:lvl>
    <w:lvl w:ilvl="6" w:tplc="BAAA9872">
      <w:start w:val="1"/>
      <w:numFmt w:val="bullet"/>
      <w:lvlText w:val="●"/>
      <w:lvlJc w:val="left"/>
      <w:pPr>
        <w:ind w:left="5040" w:hanging="360"/>
      </w:pPr>
    </w:lvl>
    <w:lvl w:ilvl="7" w:tplc="D0B689A6">
      <w:start w:val="1"/>
      <w:numFmt w:val="bullet"/>
      <w:lvlText w:val="●"/>
      <w:lvlJc w:val="left"/>
      <w:pPr>
        <w:ind w:left="5760" w:hanging="360"/>
      </w:pPr>
    </w:lvl>
    <w:lvl w:ilvl="8" w:tplc="1D1C404A">
      <w:start w:val="1"/>
      <w:numFmt w:val="bullet"/>
      <w:lvlText w:val="●"/>
      <w:lvlJc w:val="left"/>
      <w:pPr>
        <w:ind w:left="6480" w:hanging="360"/>
      </w:pPr>
    </w:lvl>
  </w:abstractNum>
  <w:num w:numId="1" w16cid:durableId="1609585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F98"/>
    <w:rsid w:val="00350A6B"/>
    <w:rsid w:val="00640C77"/>
    <w:rsid w:val="00CD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410C"/>
  <w15:docId w15:val="{D5AB6C95-38E3-4895-896F-3C3BE5B7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480" w:lineRule="auto"/>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2026-02-23T22:10:00Z</dcterms:created>
  <dcterms:modified xsi:type="dcterms:W3CDTF">2026-02-23T22:10:00Z</dcterms:modified>
</cp:coreProperties>
</file>