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81ED" w14:textId="77777777" w:rsidR="00AD2FC1" w:rsidRDefault="00AD2FC1">
      <w:pPr>
        <w:spacing w:before="3600"/>
      </w:pPr>
    </w:p>
    <w:p w14:paraId="58C938D6" w14:textId="77777777" w:rsidR="00AD2FC1" w:rsidRDefault="00000000">
      <w:pPr>
        <w:spacing w:line="480" w:lineRule="auto"/>
        <w:jc w:val="center"/>
      </w:pPr>
      <w:r>
        <w:rPr>
          <w:b/>
          <w:bCs/>
        </w:rPr>
        <w:t>Reinforcement Learning in Healthcare:</w:t>
      </w:r>
    </w:p>
    <w:p w14:paraId="3A965E7B" w14:textId="77777777" w:rsidR="00AD2FC1" w:rsidRDefault="00000000">
      <w:pPr>
        <w:spacing w:line="480" w:lineRule="auto"/>
        <w:jc w:val="center"/>
      </w:pPr>
      <w:r>
        <w:rPr>
          <w:b/>
          <w:bCs/>
        </w:rPr>
        <w:t>Designing an RL System for Personalized Insulin Dosing in Diabetic Patients</w:t>
      </w:r>
    </w:p>
    <w:p w14:paraId="35B36E60" w14:textId="77777777" w:rsidR="00AD2FC1" w:rsidRDefault="00AD2FC1">
      <w:pPr>
        <w:spacing w:line="480" w:lineRule="auto"/>
      </w:pPr>
    </w:p>
    <w:p w14:paraId="3F9E1C9C" w14:textId="77777777" w:rsidR="00AD2FC1" w:rsidRDefault="00AD2FC1">
      <w:pPr>
        <w:spacing w:line="480" w:lineRule="auto"/>
      </w:pPr>
    </w:p>
    <w:p w14:paraId="2FBC6E4E" w14:textId="77777777" w:rsidR="00AD2FC1" w:rsidRDefault="00000000">
      <w:pPr>
        <w:spacing w:line="480" w:lineRule="auto"/>
        <w:jc w:val="center"/>
      </w:pPr>
      <w:r>
        <w:t>Duc Nguyen</w:t>
      </w:r>
    </w:p>
    <w:p w14:paraId="6AE073CF" w14:textId="77777777" w:rsidR="00AD2FC1" w:rsidRDefault="00000000">
      <w:pPr>
        <w:spacing w:line="480" w:lineRule="auto"/>
        <w:jc w:val="center"/>
      </w:pPr>
      <w:r>
        <w:t>Dr. Doreen Rosenstrauch</w:t>
      </w:r>
    </w:p>
    <w:p w14:paraId="3FC7C55C" w14:textId="77777777" w:rsidR="00AD2FC1" w:rsidRDefault="00000000">
      <w:pPr>
        <w:spacing w:line="480" w:lineRule="auto"/>
        <w:jc w:val="center"/>
      </w:pPr>
      <w:r>
        <w:t>ITAI 4375</w:t>
      </w:r>
    </w:p>
    <w:p w14:paraId="6DEB2952" w14:textId="77777777" w:rsidR="00AD2FC1" w:rsidRDefault="00000000">
      <w:pPr>
        <w:spacing w:line="480" w:lineRule="auto"/>
        <w:jc w:val="center"/>
      </w:pPr>
      <w:r>
        <w:t>March 30, 2026</w:t>
      </w:r>
    </w:p>
    <w:p w14:paraId="719D12E4" w14:textId="77777777" w:rsidR="00AD2FC1" w:rsidRDefault="00AD2FC1">
      <w:pPr>
        <w:sectPr w:rsidR="00AD2FC1">
          <w:headerReference w:type="default" r:id="rId7"/>
          <w:footerReference w:type="default" r:id="rId8"/>
          <w:headerReference w:type="first" r:id="rId9"/>
          <w:pgSz w:w="12240" w:h="15840"/>
          <w:pgMar w:top="1440" w:right="1440" w:bottom="1440" w:left="1440" w:header="708" w:footer="708" w:gutter="0"/>
          <w:cols w:space="720"/>
          <w:titlePg/>
          <w:docGrid w:linePitch="360"/>
        </w:sectPr>
      </w:pPr>
    </w:p>
    <w:p w14:paraId="31EAA872" w14:textId="77777777" w:rsidR="00AD2FC1" w:rsidRDefault="00000000">
      <w:pPr>
        <w:spacing w:line="480" w:lineRule="auto"/>
        <w:jc w:val="center"/>
      </w:pPr>
      <w:r>
        <w:lastRenderedPageBreak/>
        <w:t>Abstract</w:t>
      </w:r>
    </w:p>
    <w:p w14:paraId="124CDB62" w14:textId="77777777" w:rsidR="00AD2FC1" w:rsidRDefault="00000000">
      <w:pPr>
        <w:spacing w:line="480" w:lineRule="auto"/>
      </w:pPr>
      <w:r>
        <w:t>This paper investigates how reinforcement learning, a computational approach rooted in artificial intelligence, can be leveraged to tailor insulin delivery for diabetic individuals receiving care in hospital intensive care units. The analysis begins by outlining how an RL agent observes patient data—including glucose monitor readings, prior dosing history, and dietary intake—to construct a detailed picture of metabolic status. From there, the agent selects an insulin amount intended to maintain glucose concentrations between 70 and 180 mg/dL. A reward mechanism penalizes dangerous glucose excursions, especially hypoglycemic episodes below 70 mg/dL, while reinforcing decisions that sustain readings in the optimal zone. Published findings indicate that one RL-driven model achieved a 73 percent Time in Range score, surpassing conventional sliding scale protocols. The paper also confronts a central obstacle: safeguarding patients while the algorithm refines its dosing strategy, since erroneous insulin quantities can trigger severe physiological harm. Offline training on retrospective datasets and mandatory clinician oversight are presented as practical safeguards. The broader significance of RL for adaptive, individualized medical treatment is examined alongside current barriers to clinical deployment.</w:t>
      </w:r>
    </w:p>
    <w:p w14:paraId="2988FA65" w14:textId="77777777" w:rsidR="00AD2FC1" w:rsidRDefault="00AD2FC1">
      <w:pPr>
        <w:spacing w:line="480" w:lineRule="auto"/>
      </w:pPr>
    </w:p>
    <w:p w14:paraId="06FACC96" w14:textId="77777777" w:rsidR="00AD2FC1" w:rsidRDefault="00000000">
      <w:pPr>
        <w:spacing w:line="480" w:lineRule="auto"/>
      </w:pPr>
      <w:r>
        <w:rPr>
          <w:i/>
          <w:iCs/>
        </w:rPr>
        <w:t xml:space="preserve">Keywords: </w:t>
      </w:r>
      <w:r>
        <w:t>reinforcement learning, insulin dosing, diabetes, healthcare, artificial intelligence, personalized medicine</w:t>
      </w:r>
    </w:p>
    <w:p w14:paraId="5E874C70" w14:textId="77777777" w:rsidR="00AD2FC1" w:rsidRDefault="00AD2FC1">
      <w:pPr>
        <w:sectPr w:rsidR="00AD2FC1">
          <w:headerReference w:type="default" r:id="rId10"/>
          <w:footerReference w:type="default" r:id="rId11"/>
          <w:pgSz w:w="12240" w:h="15840"/>
          <w:pgMar w:top="1440" w:right="1440" w:bottom="1440" w:left="1440" w:header="708" w:footer="708" w:gutter="0"/>
          <w:cols w:space="720"/>
          <w:docGrid w:linePitch="360"/>
        </w:sectPr>
      </w:pPr>
    </w:p>
    <w:p w14:paraId="078C5C80" w14:textId="77777777" w:rsidR="00AD2FC1" w:rsidRDefault="00000000">
      <w:pPr>
        <w:spacing w:line="480" w:lineRule="auto"/>
        <w:jc w:val="center"/>
      </w:pPr>
      <w:r>
        <w:rPr>
          <w:b/>
          <w:bCs/>
        </w:rPr>
        <w:lastRenderedPageBreak/>
        <w:t>Introduction</w:t>
      </w:r>
    </w:p>
    <w:p w14:paraId="2EC55EFC" w14:textId="77777777" w:rsidR="00AD2FC1" w:rsidRDefault="00000000">
      <w:pPr>
        <w:spacing w:line="480" w:lineRule="auto"/>
      </w:pPr>
      <w:r>
        <w:tab/>
        <w:t>In the landscape of artificial intelligence, few paradigms match the flexibility of reinforcement learning when it comes to problems that unfold over multiple steps. At its core, RL involves a software agent that repeatedly chooses actions within a given environment, receives numerical feedback indicating how favorable the outcome was, and gradually refines its strategy to accumulate the greatest long-term benefit. This trial-and-feedback loop mirrors, in a simplified way, how a physician might adjust a treatment plan after observing whether a patient improved or declined following a medication change. Jayaraman et al. (2024) characterized this approach as one that strengthens clinical judgment by tackling uncertainty and finding better sequences of therapeutic choices over time. The applicability of RL to medicine stems from the fact that many clinical situations—chronic disease management, critical care interventions, and medication titration—demand repeated decisions whose consequences ripple forward and interact with one another (Al-Hamadani et al., 2024). This paper argues that RL provides a credible, evidence-supported method for automating and personalizing insulin dose selection in hospitalized diabetic patients, with the goal of tightening glucose control and minimizing harmful blood sugar fluctuations.</w:t>
      </w:r>
    </w:p>
    <w:p w14:paraId="64D9C422" w14:textId="77777777" w:rsidR="00AD2FC1" w:rsidRDefault="00000000">
      <w:pPr>
        <w:spacing w:before="240"/>
        <w:jc w:val="center"/>
      </w:pPr>
      <w:r>
        <w:rPr>
          <w:b/>
          <w:bCs/>
        </w:rPr>
        <w:t>Background</w:t>
      </w:r>
    </w:p>
    <w:p w14:paraId="11463D59" w14:textId="77777777" w:rsidR="00AD2FC1" w:rsidRDefault="00000000">
      <w:pPr>
        <w:spacing w:line="480" w:lineRule="auto"/>
      </w:pPr>
      <w:r>
        <w:tab/>
        <w:t xml:space="preserve">Diabetes ranks among the most prevalent metabolic disorders globally, and its management inside hospitals introduces layers of difficulty that outpatient care rarely encounters. Critically ill patients often exhibit erratic glucose swings driven by physiological stress, intravenous nutrition, corticosteroid therapy, and organ dysfunction—all of which confound standard dosing charts. Conventional hospital protocols, particularly the sliding scale method, assign insulin quantities based on a single glucose reading without factoring in the trajectory of recent values or individual metabolic quirks (Dénes-Fazakas et al., 2024). The result is a reactive </w:t>
      </w:r>
      <w:r>
        <w:lastRenderedPageBreak/>
        <w:t>rather than proactive approach, frequently producing alternating bouts of excessively high and dangerously low blood sugar. Against this backdrop, investigators have turned to RL as a candidate for smarter glucose regulation. Frommeyer et al. (2025) documented a pronounced uptick in RL-focused healthcare publications beginning around 2020, fueled by cheaper computing resources, the proliferation of wearable glucose sensors, and expanding electronic health record databases. What makes RL especially fitting for insulin management is its native architecture: it treats each dosing occasion as one step in a longer sequence where today’s choice shapes tomorrow’s glucose trajectory, precisely the structure that characterizes inpatient diabetes care (Jayaraman et al., 2024).</w:t>
      </w:r>
    </w:p>
    <w:p w14:paraId="4EAC2F83" w14:textId="77777777" w:rsidR="00AD2FC1" w:rsidRDefault="00000000">
      <w:pPr>
        <w:spacing w:before="240"/>
        <w:jc w:val="center"/>
      </w:pPr>
      <w:r>
        <w:rPr>
          <w:b/>
          <w:bCs/>
        </w:rPr>
        <w:t>Defining the Reinforcement Learning Components</w:t>
      </w:r>
    </w:p>
    <w:p w14:paraId="3EA78690" w14:textId="77777777" w:rsidR="00AD2FC1" w:rsidRDefault="00000000">
      <w:pPr>
        <w:spacing w:line="480" w:lineRule="auto"/>
      </w:pPr>
      <w:r>
        <w:rPr>
          <w:b/>
          <w:bCs/>
          <w:i/>
          <w:iCs/>
        </w:rPr>
        <w:t>State</w:t>
      </w:r>
    </w:p>
    <w:p w14:paraId="3BE21136" w14:textId="77777777" w:rsidR="00AD2FC1" w:rsidRDefault="00000000">
      <w:pPr>
        <w:spacing w:line="480" w:lineRule="auto"/>
      </w:pPr>
      <w:r>
        <w:tab/>
        <w:t xml:space="preserve">Before the RL agent can choose an insulin dose, it needs a snapshot of everything clinically relevant at that moment. In the scenario proposed here, this snapshot—termed the state—draws from several streams of information. The most immediate input is the current glucose concentration reported by a continuous glucose monitor attached to the patient. Equally important is the directional trend of those readings over the prior two to four hours: a glucose level of 150 mg/dL that is climbing rapidly demands a different response than the same reading on a downward slope. Beyond glucose itself, the state incorporates the size and timing of the most recent insulin dose, the patient’s caloric and carbohydrate consumption, body mass, renal clearance markers, and a list of co-administered drugs that could raise or lower blood sugar as a side effect. Dénes-Fazakas et al. (2024) stressed that coupling continuous sensor data with variable meal patterns produces a more realistic training environment for RL models, since real patients do not eat identical meals at identical times each day. Aggregating all of these variables </w:t>
      </w:r>
      <w:r>
        <w:lastRenderedPageBreak/>
        <w:t>into a single state vector gives the agent a rich, multidimensional view of the patient’s metabolic situation at every decision point.</w:t>
      </w:r>
    </w:p>
    <w:p w14:paraId="6ABB28B8" w14:textId="77777777" w:rsidR="00AD2FC1" w:rsidRDefault="00000000">
      <w:pPr>
        <w:spacing w:line="480" w:lineRule="auto"/>
      </w:pPr>
      <w:r>
        <w:rPr>
          <w:b/>
          <w:bCs/>
          <w:i/>
          <w:iCs/>
        </w:rPr>
        <w:t>Action</w:t>
      </w:r>
    </w:p>
    <w:p w14:paraId="29160E76" w14:textId="77777777" w:rsidR="00AD2FC1" w:rsidRDefault="00000000">
      <w:pPr>
        <w:spacing w:line="480" w:lineRule="auto"/>
      </w:pPr>
      <w:r>
        <w:tab/>
        <w:t>Once the agent has assessed the current state, it selects from a defined set of possible interventions—the action space. In this insulin dosing framework, the primary action is selecting how many units of insulin to deliver. The range spans from zero units (withholding insulin when glucose is trending low) through small corrective amounts (one to three units to nudge a mildly elevated reading downward) up to substantial bolus doses timed around meals. For patients connected to an insulin pump, the agent might also modulate the continuous basal infusion rate rather than issuing a discrete bolus. A secondary action involves deciding when the next glucose measurement should occur or whether a bedside alert is warranted if values approach critical thresholds. The strength of RL here is its capacity to fine-tune these choices for each individual rather than defaulting to a uniform protocol (Al-Hamadani et al., 2024). K et al. (2025) emphasized that RL excels at generating time-sensitive, patient-specific decisions that respect the reality that two patients with identical glucose readings may respond very differently to the same insulin quantity because of differences in illness severity, body composition, and hepatic function.</w:t>
      </w:r>
    </w:p>
    <w:p w14:paraId="4E3582C2" w14:textId="77777777" w:rsidR="00AD2FC1" w:rsidRDefault="00000000">
      <w:pPr>
        <w:spacing w:line="480" w:lineRule="auto"/>
      </w:pPr>
      <w:r>
        <w:rPr>
          <w:b/>
          <w:bCs/>
          <w:i/>
          <w:iCs/>
        </w:rPr>
        <w:t>Reward</w:t>
      </w:r>
    </w:p>
    <w:p w14:paraId="75E627A9" w14:textId="77777777" w:rsidR="00AD2FC1" w:rsidRDefault="00000000">
      <w:pPr>
        <w:spacing w:line="480" w:lineRule="auto"/>
      </w:pPr>
      <w:r>
        <w:tab/>
        <w:t xml:space="preserve">The reward function translates clinical outcomes into the numerical signal that steers the agent’s learning. For this scenario, the function is constructed around the widely accepted target glucose corridor of 70 to 180 mg/dL used in hospital medicine. When a post-action glucose reading lands squarely within this window, the agent earns a positive score; readings in the tighter 80 to 140 mg/dL band receive an even larger bonus to encourage not just adequate but </w:t>
      </w:r>
      <w:r>
        <w:lastRenderedPageBreak/>
        <w:t>excellent control. On the penalty side, any reading above 180 mg/dL triggers a moderate negative score, while values below 70 mg/dL—the threshold for clinical hypoglycemia—carry a steep penalty reflecting the acute danger of seizures, cardiac arrhythmias, and loss of consciousness. This asymmetric penalty structure encodes the medical reality that low blood sugar poses a more immediate threat than high blood sugar over short time horizons. A useful aggregate metric for evaluating overall performance is Time in Range, which captures what fraction of a given period the patient’s glucose stayed within bounds. Dénes-Fazakas et al. (2024) reported that an RL controller built on a Proximal Policy Optimization algorithm attained a 73 percent TIR score, a figure that compares favorably with many conventional management strategies.</w:t>
      </w:r>
    </w:p>
    <w:p w14:paraId="198C80C6" w14:textId="77777777" w:rsidR="00AD2FC1" w:rsidRDefault="00000000">
      <w:pPr>
        <w:spacing w:before="240"/>
        <w:jc w:val="center"/>
      </w:pPr>
      <w:r>
        <w:rPr>
          <w:b/>
          <w:bCs/>
        </w:rPr>
        <w:t>How Reinforcement Learning Could Improve Patient Care</w:t>
      </w:r>
    </w:p>
    <w:p w14:paraId="3E34E181" w14:textId="77777777" w:rsidR="00AD2FC1" w:rsidRDefault="00000000">
      <w:pPr>
        <w:spacing w:line="480" w:lineRule="auto"/>
      </w:pPr>
      <w:r>
        <w:tab/>
        <w:t xml:space="preserve">Several concrete advantages emerge when RL is applied to inpatient insulin management. The most fundamental is genuine individualization: instead of mapping every patient onto the same dosing table, the agent builds an internal model of how a particular person’s glucose responds to specific insulin amounts under specific conditions. Over successive dosing cycles, this model grows more precise, enabling tighter control with fewer overcorrections. A second benefit is temporal consistency—an algorithm does not experience fatigue during overnight shifts, does not get pulled away to attend another patient, and can react to a concerning glucose trend within seconds of the data appearing on the monitor. Third, RL naturally weighs long-term consequences rather than optimizing only the next reading; this forward-looking behavior reduces the oscillatory pattern of high-then-low glucose that plagues reactive protocols. Published work in adjacent clinical domains—including chemotherapy scheduling, antidepressant selection, and ventilator management—illustrates that these advantages are not theoretical but have produced measurable gains in simulated and retrospective analyses (K et al., </w:t>
      </w:r>
      <w:r>
        <w:lastRenderedPageBreak/>
        <w:t>2025). Jayaraman et al. (2024) noted that intensive care settings, with their dense streams of physiological telemetry, offer an especially fertile ground for RL because the data needed to construct accurate state representations are already being collected as part of routine monitoring.</w:t>
      </w:r>
    </w:p>
    <w:p w14:paraId="0DBBE6D6" w14:textId="77777777" w:rsidR="00AD2FC1" w:rsidRDefault="00000000">
      <w:pPr>
        <w:spacing w:before="240"/>
        <w:jc w:val="center"/>
      </w:pPr>
      <w:r>
        <w:rPr>
          <w:b/>
          <w:bCs/>
        </w:rPr>
        <w:t>Potential Challenges and Concerns</w:t>
      </w:r>
    </w:p>
    <w:p w14:paraId="7C935277" w14:textId="77777777" w:rsidR="00AD2FC1" w:rsidRDefault="00000000">
      <w:pPr>
        <w:spacing w:line="480" w:lineRule="auto"/>
      </w:pPr>
      <w:r>
        <w:tab/>
        <w:t>Despite its promise, deploying RL for insulin dosing introduces a concern that does not arise in domains like board games or warehouse logistics: the cost of a wrong action can be a patient’s life. An agent that is still learning may, on occasion, recommend an insulin quantity that precipitates dangerous hypoglycemia, a scenario with no simple undo button. Jayaraman et al. (2024) highlighted that reconciling algorithmic recommendations with established clinical standards while simultaneously addressing the unique needs of each patient remains an unresolved tension in the field. The prevailing mitigation strategy is offline reinforcement learning, in which the agent trains exclusively on retrospective datasets of previous patients rather than experimenting in real time on current ones. Any dose suggestion produced by such a system would then pass through a clinician who can override it before it reaches the patient. A related hurdle is the opacity of many RL algorithms, particularly those built on deep neural networks. If a physician cannot discern why the system recommended eight units instead of four, trust erodes and adoption stalls. Frommeyer et al. (2025) underscored that interpretability and reproducibility are prerequisites for moving RL tools from research prototypes into bedside practice, and that without standardized benchmarks for comparing algorithms, progress toward regulatory approval will be slow.</w:t>
      </w:r>
    </w:p>
    <w:p w14:paraId="3ACF9E4F" w14:textId="77777777" w:rsidR="00AD2FC1" w:rsidRDefault="00000000">
      <w:pPr>
        <w:spacing w:before="240"/>
        <w:jc w:val="center"/>
      </w:pPr>
      <w:r>
        <w:rPr>
          <w:b/>
          <w:bCs/>
        </w:rPr>
        <w:t>Conclusion</w:t>
      </w:r>
    </w:p>
    <w:p w14:paraId="49F918F0" w14:textId="77777777" w:rsidR="00AD2FC1" w:rsidRDefault="00000000">
      <w:pPr>
        <w:spacing w:line="480" w:lineRule="auto"/>
      </w:pPr>
      <w:r>
        <w:tab/>
        <w:t xml:space="preserve">In conclusion, the analysis presented in this paper supports the position that reinforcement learning constitutes a powerful yet still maturing tool for personalizing insulin therapy in hospitalized diabetic patients. By framing each dosing decision as one step in a </w:t>
      </w:r>
      <w:r>
        <w:lastRenderedPageBreak/>
        <w:t>sequential optimization problem, RL aligns naturally with the clinical reality of glucose management, where every action reverberates through future patient states. Quantitative evidence—such as the 73 percent Time in Range achievement reported by Dénes-Fazakas et al. (2024)—demonstrates that RL-based controllers can already rival or exceed conventional protocols under controlled conditions. At the same time, the stakes inherent in medication dosing demand that safety mechanisms, clinician oversight, and algorithmic transparency be built into any deployment pathway. The acceleration of RL research in healthcare observed since 2020 (Frommeyer et al., 2025) suggests that the field is approaching a critical mass of knowledge, but bridging the gap between retrospective studies and prospective clinical trials remains the defining challenge ahead. Future investigations would benefit from multi-center validation studies, development of explainable RL architectures tailored to clinical audiences, and regulatory frameworks that accommodate adaptive algorithms. If these obstacles are addressed systematically, RL stands to reshape how treatment decisions are made across numerous areas of medicine, moving the field closer to a standard of care that is truly responsive to each patient’s evolving physiology.</w:t>
      </w:r>
    </w:p>
    <w:p w14:paraId="743E79AA" w14:textId="77777777" w:rsidR="00AD2FC1" w:rsidRDefault="00AD2FC1">
      <w:pPr>
        <w:spacing w:line="480" w:lineRule="auto"/>
      </w:pPr>
    </w:p>
    <w:p w14:paraId="1BCE5DBB" w14:textId="77777777" w:rsidR="00AD2FC1" w:rsidRDefault="00000000">
      <w:pPr>
        <w:spacing w:before="240"/>
        <w:jc w:val="center"/>
      </w:pPr>
      <w:r>
        <w:rPr>
          <w:b/>
          <w:bCs/>
        </w:rPr>
        <w:t>Conflict of Interest Declaration</w:t>
      </w:r>
    </w:p>
    <w:p w14:paraId="56EE82DC" w14:textId="77777777" w:rsidR="00AD2FC1" w:rsidRDefault="00000000">
      <w:pPr>
        <w:spacing w:line="480" w:lineRule="auto"/>
      </w:pPr>
      <w:r>
        <w:tab/>
        <w:t>The author declares no conflict of interest related to this paper.</w:t>
      </w:r>
    </w:p>
    <w:p w14:paraId="171F070B" w14:textId="77777777" w:rsidR="00AD2FC1" w:rsidRDefault="00000000">
      <w:pPr>
        <w:spacing w:line="480" w:lineRule="auto"/>
      </w:pPr>
      <w:r>
        <w:br w:type="page"/>
      </w:r>
    </w:p>
    <w:p w14:paraId="1C5DF1A9" w14:textId="77777777" w:rsidR="00AD2FC1" w:rsidRDefault="00000000">
      <w:pPr>
        <w:spacing w:line="480" w:lineRule="auto"/>
        <w:jc w:val="center"/>
      </w:pPr>
      <w:r>
        <w:rPr>
          <w:b/>
          <w:bCs/>
        </w:rPr>
        <w:lastRenderedPageBreak/>
        <w:t>References</w:t>
      </w:r>
    </w:p>
    <w:p w14:paraId="5B0CB0DE" w14:textId="77777777" w:rsidR="00AD2FC1" w:rsidRDefault="00000000">
      <w:pPr>
        <w:spacing w:line="480" w:lineRule="auto"/>
        <w:ind w:left="720" w:hanging="720"/>
      </w:pPr>
      <w:r>
        <w:t xml:space="preserve">Al-Hamadani, M. N. A., Fadhel, M. A., Alzubaidi, L., &amp; Balazs, H. (2024). Reinforcement learning algorithms and applications in healthcare and robotics: A comprehensive and systematic review. </w:t>
      </w:r>
      <w:r>
        <w:rPr>
          <w:i/>
          <w:iCs/>
        </w:rPr>
        <w:t>Sensors, 24</w:t>
      </w:r>
      <w:r>
        <w:t>(8), 2461. https://doi.org/10.3390/s24082461</w:t>
      </w:r>
    </w:p>
    <w:p w14:paraId="10EA11A3" w14:textId="77777777" w:rsidR="00AD2FC1" w:rsidRDefault="00000000">
      <w:pPr>
        <w:spacing w:line="480" w:lineRule="auto"/>
        <w:ind w:left="720" w:hanging="720"/>
      </w:pPr>
      <w:r>
        <w:t xml:space="preserve">Dénes-Fazakas, L., Szilágyi, L., Kovács, L., De Gaetano, A., &amp; Eigner, G. (2024). Reinforcement learning: A paradigm shift in personalized blood glucose management for diabetes. </w:t>
      </w:r>
      <w:r>
        <w:rPr>
          <w:i/>
          <w:iCs/>
        </w:rPr>
        <w:t>Biomedicines, 12</w:t>
      </w:r>
      <w:r>
        <w:t>(9), 2143. https://doi.org/10.3390/biomedicines12092143</w:t>
      </w:r>
    </w:p>
    <w:p w14:paraId="7EB35DA6" w14:textId="77777777" w:rsidR="00AD2FC1" w:rsidRDefault="00000000">
      <w:pPr>
        <w:spacing w:line="480" w:lineRule="auto"/>
        <w:ind w:left="720" w:hanging="720"/>
      </w:pPr>
      <w:r>
        <w:t xml:space="preserve">Frommeyer, T. C., Gilbert, M. M., Fursmidt, R. M., Park, Y., Khouzam, J. P., Brittain, G. V., Frommeyer, D. P., Bett, E. S., &amp; Bihl, T. J. (2025). Reinforcement learning and its clinical applications within healthcare: A systematic review of precision medicine and dynamic treatment regimes. </w:t>
      </w:r>
      <w:r>
        <w:rPr>
          <w:i/>
          <w:iCs/>
        </w:rPr>
        <w:t>Healthcare, 13</w:t>
      </w:r>
      <w:r>
        <w:t>(14), 1752. https://doi.org/10.3390/healthcare13141752</w:t>
      </w:r>
    </w:p>
    <w:p w14:paraId="421C956D" w14:textId="77777777" w:rsidR="00AD2FC1" w:rsidRDefault="00000000">
      <w:pPr>
        <w:spacing w:line="480" w:lineRule="auto"/>
        <w:ind w:left="720" w:hanging="720"/>
      </w:pPr>
      <w:r>
        <w:t xml:space="preserve">Jayaraman, P., Desman, J., Engel, M., &amp; Harris, D. R. (2024). A primer on reinforcement learning in medicine for clinicians. </w:t>
      </w:r>
      <w:r>
        <w:rPr>
          <w:i/>
          <w:iCs/>
        </w:rPr>
        <w:t>npj Digital Medicine, 7</w:t>
      </w:r>
      <w:r>
        <w:t>(1), 337. https://doi.org/10.1038/s41746-024-01316-0</w:t>
      </w:r>
    </w:p>
    <w:p w14:paraId="5D9D54A2" w14:textId="77777777" w:rsidR="00AD2FC1" w:rsidRDefault="00000000">
      <w:pPr>
        <w:spacing w:line="480" w:lineRule="auto"/>
        <w:ind w:left="720" w:hanging="720"/>
      </w:pPr>
      <w:r>
        <w:t xml:space="preserve">K, S., Duddukuru, R. R., Kumar, B. S., Reddy, C. R. K., Koneru, G. S., &amp; Devarakonda, N. (2025). Reinforcement learning in personalized medicine: A comprehensive review of treatment optimization strategies. </w:t>
      </w:r>
      <w:r>
        <w:rPr>
          <w:i/>
          <w:iCs/>
        </w:rPr>
        <w:t>Cureus, 17</w:t>
      </w:r>
      <w:r>
        <w:t>(4), e76757. https://doi.org/10.7759/cureus.76757</w:t>
      </w:r>
    </w:p>
    <w:sectPr w:rsidR="00AD2FC1">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C4EDF" w14:textId="77777777" w:rsidR="00856DB4" w:rsidRDefault="00856DB4">
      <w:r>
        <w:separator/>
      </w:r>
    </w:p>
  </w:endnote>
  <w:endnote w:type="continuationSeparator" w:id="0">
    <w:p w14:paraId="2CAE8CEE" w14:textId="77777777" w:rsidR="00856DB4" w:rsidRDefault="0085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1A8F" w14:textId="77777777" w:rsidR="00AD2FC1" w:rsidRDefault="00000000">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75E5" w14:textId="77777777" w:rsidR="00AD2FC1" w:rsidRDefault="00000000">
    <w:pPr>
      <w:jc w:val="center"/>
    </w:pPr>
    <w:r>
      <w:fldChar w:fldCharType="begin"/>
    </w:r>
    <w:r>
      <w:instrText>PAGE</w:instrText>
    </w:r>
    <w:r>
      <w:fldChar w:fldCharType="separate"/>
    </w:r>
    <w:r w:rsidR="0048245C">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DD6A" w14:textId="77777777" w:rsidR="00AD2FC1" w:rsidRDefault="00000000">
    <w:pPr>
      <w:jc w:val="center"/>
    </w:pPr>
    <w:r>
      <w:fldChar w:fldCharType="begin"/>
    </w:r>
    <w:r>
      <w:instrText>PAGE</w:instrText>
    </w:r>
    <w:r>
      <w:fldChar w:fldCharType="separate"/>
    </w:r>
    <w:r w:rsidR="0048245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4F33" w14:textId="77777777" w:rsidR="00856DB4" w:rsidRDefault="00856DB4">
      <w:r>
        <w:separator/>
      </w:r>
    </w:p>
  </w:footnote>
  <w:footnote w:type="continuationSeparator" w:id="0">
    <w:p w14:paraId="1563B60C" w14:textId="77777777" w:rsidR="00856DB4" w:rsidRDefault="00856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5E72" w14:textId="77777777" w:rsidR="00AD2FC1" w:rsidRDefault="00000000">
    <w:r>
      <w:t>REINFORCEMENT LEARNING IN HEALTHCARE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0FEF" w14:textId="77777777" w:rsidR="00AD2FC1" w:rsidRDefault="00000000">
    <w:r>
      <w:t>Running head: REINFORCEMENT LEARNING IN HEALTHCARE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4676" w14:textId="77777777" w:rsidR="00AD2FC1" w:rsidRDefault="00000000">
    <w:r>
      <w:t>REINFORCEMENT LEARNING IN HEALTHCARE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E72C" w14:textId="77777777" w:rsidR="00AD2FC1" w:rsidRDefault="00000000">
    <w:r>
      <w:t>REINFORCEMENT LEARNING IN HEALTHCARE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15B11"/>
    <w:multiLevelType w:val="hybridMultilevel"/>
    <w:tmpl w:val="DC9012A8"/>
    <w:lvl w:ilvl="0" w:tplc="13E0D7EA">
      <w:start w:val="1"/>
      <w:numFmt w:val="bullet"/>
      <w:lvlText w:val="●"/>
      <w:lvlJc w:val="left"/>
      <w:pPr>
        <w:ind w:left="720" w:hanging="360"/>
      </w:pPr>
    </w:lvl>
    <w:lvl w:ilvl="1" w:tplc="AC829794">
      <w:start w:val="1"/>
      <w:numFmt w:val="bullet"/>
      <w:lvlText w:val="○"/>
      <w:lvlJc w:val="left"/>
      <w:pPr>
        <w:ind w:left="1440" w:hanging="360"/>
      </w:pPr>
    </w:lvl>
    <w:lvl w:ilvl="2" w:tplc="7DBC37BE">
      <w:start w:val="1"/>
      <w:numFmt w:val="bullet"/>
      <w:lvlText w:val="■"/>
      <w:lvlJc w:val="left"/>
      <w:pPr>
        <w:ind w:left="2160" w:hanging="360"/>
      </w:pPr>
    </w:lvl>
    <w:lvl w:ilvl="3" w:tplc="CDE43662">
      <w:start w:val="1"/>
      <w:numFmt w:val="bullet"/>
      <w:lvlText w:val="●"/>
      <w:lvlJc w:val="left"/>
      <w:pPr>
        <w:ind w:left="2880" w:hanging="360"/>
      </w:pPr>
    </w:lvl>
    <w:lvl w:ilvl="4" w:tplc="D45C7FCA">
      <w:start w:val="1"/>
      <w:numFmt w:val="bullet"/>
      <w:lvlText w:val="○"/>
      <w:lvlJc w:val="left"/>
      <w:pPr>
        <w:ind w:left="3600" w:hanging="360"/>
      </w:pPr>
    </w:lvl>
    <w:lvl w:ilvl="5" w:tplc="C6203F7A">
      <w:start w:val="1"/>
      <w:numFmt w:val="bullet"/>
      <w:lvlText w:val="■"/>
      <w:lvlJc w:val="left"/>
      <w:pPr>
        <w:ind w:left="4320" w:hanging="360"/>
      </w:pPr>
    </w:lvl>
    <w:lvl w:ilvl="6" w:tplc="9A762CDA">
      <w:start w:val="1"/>
      <w:numFmt w:val="bullet"/>
      <w:lvlText w:val="●"/>
      <w:lvlJc w:val="left"/>
      <w:pPr>
        <w:ind w:left="5040" w:hanging="360"/>
      </w:pPr>
    </w:lvl>
    <w:lvl w:ilvl="7" w:tplc="08921412">
      <w:start w:val="1"/>
      <w:numFmt w:val="bullet"/>
      <w:lvlText w:val="●"/>
      <w:lvlJc w:val="left"/>
      <w:pPr>
        <w:ind w:left="5760" w:hanging="360"/>
      </w:pPr>
    </w:lvl>
    <w:lvl w:ilvl="8" w:tplc="77BCFBEA">
      <w:start w:val="1"/>
      <w:numFmt w:val="bullet"/>
      <w:lvlText w:val="●"/>
      <w:lvlJc w:val="left"/>
      <w:pPr>
        <w:ind w:left="6480" w:hanging="360"/>
      </w:pPr>
    </w:lvl>
  </w:abstractNum>
  <w:num w:numId="1" w16cid:durableId="2107581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C1"/>
    <w:rsid w:val="00127328"/>
    <w:rsid w:val="0048245C"/>
    <w:rsid w:val="00856DB4"/>
    <w:rsid w:val="00AD2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4EFC"/>
  <w15:docId w15:val="{A9C6722D-95D0-446B-BE48-17BD2AE9C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2140</Words>
  <Characters>12201</Characters>
  <Application>Microsoft Office Word</Application>
  <DocSecurity>0</DocSecurity>
  <Lines>101</Lines>
  <Paragraphs>28</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2026-03-31T02:16:00Z</dcterms:created>
  <dcterms:modified xsi:type="dcterms:W3CDTF">2026-03-31T02:16:00Z</dcterms:modified>
</cp:coreProperties>
</file>