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8B9B0" w14:textId="77777777" w:rsidR="001F647D" w:rsidRDefault="00000000" w:rsidP="008B5420">
      <w:pPr>
        <w:pStyle w:val="Heading1"/>
        <w:spacing w:line="480" w:lineRule="auto"/>
        <w:jc w:val="center"/>
      </w:pPr>
      <w:bookmarkStart w:id="0" w:name="X34547640da961e4984920240c9330893478ed58"/>
      <w:r>
        <w:t>Medical Terminology Identification Assignment</w:t>
      </w:r>
    </w:p>
    <w:p w14:paraId="1BB895AB" w14:textId="0322F4EA" w:rsidR="001F647D" w:rsidRDefault="00000000" w:rsidP="008B5420">
      <w:pPr>
        <w:pStyle w:val="FirstParagraph"/>
        <w:spacing w:line="480" w:lineRule="auto"/>
      </w:pPr>
      <w:r>
        <w:rPr>
          <w:b/>
          <w:bCs/>
        </w:rPr>
        <w:t>Student Name:</w:t>
      </w:r>
      <w:r>
        <w:t xml:space="preserve"> </w:t>
      </w:r>
      <w:r w:rsidR="008B5420">
        <w:t>Duc Nguyen</w:t>
      </w:r>
      <w:r>
        <w:br/>
      </w:r>
      <w:r>
        <w:rPr>
          <w:b/>
          <w:bCs/>
        </w:rPr>
        <w:t>Course Name:</w:t>
      </w:r>
      <w:r>
        <w:t xml:space="preserve"> ITAI 4375 - Information Technology and Artificial Intelligence in Healthcare</w:t>
      </w:r>
      <w:r>
        <w:br/>
      </w:r>
      <w:r>
        <w:rPr>
          <w:b/>
          <w:bCs/>
        </w:rPr>
        <w:t>Instructor’s Name:</w:t>
      </w:r>
      <w:r>
        <w:t xml:space="preserve"> </w:t>
      </w:r>
      <w:r w:rsidR="008B5420">
        <w:t xml:space="preserve">Dr. Doreen </w:t>
      </w:r>
      <w:r w:rsidR="008B5420" w:rsidRPr="008B5420">
        <w:t>Rosenstrauch</w:t>
      </w:r>
      <w:r>
        <w:br/>
      </w:r>
      <w:r>
        <w:rPr>
          <w:b/>
          <w:bCs/>
        </w:rPr>
        <w:t>Date:</w:t>
      </w:r>
      <w:r>
        <w:t xml:space="preserve"> January 16, 2026</w:t>
      </w:r>
    </w:p>
    <w:p w14:paraId="135276FF" w14:textId="77777777" w:rsidR="001F647D" w:rsidRDefault="00000000" w:rsidP="008B5420">
      <w:pPr>
        <w:spacing w:line="480" w:lineRule="auto"/>
      </w:pPr>
      <w:r>
        <w:pict w14:anchorId="2AF26465">
          <v:rect id="_x0000_i1025" style="width:0;height:1.5pt" o:hralign="center" o:hrstd="t" o:hr="t"/>
        </w:pict>
      </w:r>
    </w:p>
    <w:p w14:paraId="5DABDF1D" w14:textId="77777777" w:rsidR="001F647D" w:rsidRDefault="00000000" w:rsidP="008B5420">
      <w:pPr>
        <w:pStyle w:val="Heading2"/>
        <w:spacing w:line="480" w:lineRule="auto"/>
      </w:pPr>
      <w:bookmarkStart w:id="1" w:name="abstract"/>
      <w:r>
        <w:t>Abstract</w:t>
      </w:r>
    </w:p>
    <w:p w14:paraId="259B4A82" w14:textId="77777777" w:rsidR="001F647D" w:rsidRDefault="00000000" w:rsidP="008B5420">
      <w:pPr>
        <w:pStyle w:val="FirstParagraph"/>
        <w:spacing w:line="480" w:lineRule="auto"/>
      </w:pPr>
      <w:r>
        <w:t>This assignment examines ten essential medical termini technici identified from recent healthcare literature and medical journal articles. Each term is analyzed for its definition, contextual application, and significance in contemporary medical practice. The terms selected represent diverse areas of healthcare including oncology, infectious disease, cardiovascular medicine, endocrinology, and patient safety. By exploring specialized medical vocabulary from immunotherapy and biomarkers to antimicrobial resistance and palliative care, this assignment demonstrates the critical role of precise medical terminology in clinical communication, research dissemination, and healthcare delivery. Understanding these terms is fundamental for healthcare professionals to accurately interpret medical literature, communicate complex clinical concepts, and participate effectively in interdisciplinary care teams.</w:t>
      </w:r>
    </w:p>
    <w:p w14:paraId="51861114" w14:textId="77777777" w:rsidR="001F647D" w:rsidRDefault="00000000" w:rsidP="008B5420">
      <w:pPr>
        <w:pStyle w:val="BodyText"/>
        <w:spacing w:line="480" w:lineRule="auto"/>
      </w:pPr>
      <w:r>
        <w:rPr>
          <w:b/>
          <w:bCs/>
        </w:rPr>
        <w:t>Keywords:</w:t>
      </w:r>
      <w:r>
        <w:t xml:space="preserve"> medical terminology, termini technici, healthcare communication, clinical vocabulary, medical lexicon</w:t>
      </w:r>
    </w:p>
    <w:p w14:paraId="1F49FA6B" w14:textId="77777777" w:rsidR="001F647D" w:rsidRDefault="00000000" w:rsidP="008B5420">
      <w:pPr>
        <w:spacing w:line="480" w:lineRule="auto"/>
      </w:pPr>
      <w:r>
        <w:lastRenderedPageBreak/>
        <w:pict w14:anchorId="30024106">
          <v:rect id="_x0000_i1026" style="width:0;height:1.5pt" o:hralign="center" o:hrstd="t" o:hr="t"/>
        </w:pict>
      </w:r>
    </w:p>
    <w:p w14:paraId="74189FA7" w14:textId="77777777" w:rsidR="001F647D" w:rsidRDefault="00000000" w:rsidP="008B5420">
      <w:pPr>
        <w:pStyle w:val="Heading2"/>
        <w:spacing w:line="480" w:lineRule="auto"/>
      </w:pPr>
      <w:bookmarkStart w:id="2" w:name="X161a9d76218650c8dd4276435baa0bfe692baee"/>
      <w:bookmarkEnd w:id="1"/>
      <w:r>
        <w:t>Medical Terminology Identification in Contemporary Healthcare Literature</w:t>
      </w:r>
    </w:p>
    <w:p w14:paraId="6FB1C021" w14:textId="77777777" w:rsidR="001F647D" w:rsidRDefault="00000000" w:rsidP="008B5420">
      <w:pPr>
        <w:pStyle w:val="Heading3"/>
        <w:spacing w:line="480" w:lineRule="auto"/>
      </w:pPr>
      <w:bookmarkStart w:id="3" w:name="introduction"/>
      <w:r>
        <w:t>Introduction</w:t>
      </w:r>
    </w:p>
    <w:p w14:paraId="11249293" w14:textId="77777777" w:rsidR="001F647D" w:rsidRDefault="00000000" w:rsidP="008B5420">
      <w:pPr>
        <w:pStyle w:val="FirstParagraph"/>
        <w:spacing w:line="480" w:lineRule="auto"/>
      </w:pPr>
      <w:r>
        <w:t>Medical terminology, known formally as termini technici, constitutes the specialized language through which healthcare professionals communicate complex clinical concepts with precision and clarity. These technical terms enable accurate transmission of medical knowledge across disciplines, facilitate effective patient care coordination, and ensure consistency in medical documentation and research. This assignment identifies and analyzes ten essential medical terms from recent healthcare literature, examining their definitions, contextual applications, and significance in modern medical practice. The ability to comprehend and appropriately apply medical terminology represents a foundational competency for anyone engaged in healthcare delivery, health informatics, or medical research.</w:t>
      </w:r>
    </w:p>
    <w:p w14:paraId="4317CA20" w14:textId="77777777" w:rsidR="001F647D" w:rsidRDefault="00000000" w:rsidP="008B5420">
      <w:pPr>
        <w:pStyle w:val="Heading3"/>
        <w:spacing w:line="480" w:lineRule="auto"/>
      </w:pPr>
      <w:bookmarkStart w:id="4" w:name="background"/>
      <w:bookmarkEnd w:id="3"/>
      <w:r>
        <w:t>Background</w:t>
      </w:r>
    </w:p>
    <w:p w14:paraId="02B1F45D" w14:textId="0B828136" w:rsidR="001F647D" w:rsidRDefault="00000000" w:rsidP="008B5420">
      <w:pPr>
        <w:pStyle w:val="FirstParagraph"/>
        <w:spacing w:line="480" w:lineRule="auto"/>
      </w:pPr>
      <w:r>
        <w:t xml:space="preserve">The evolution of medical terminology reflects advances in scientific understanding, technological innovation, and clinical practice. Medical terms derive from multiple linguistic sources, </w:t>
      </w:r>
      <w:r w:rsidR="008B5420">
        <w:t>Latin</w:t>
      </w:r>
      <w:r>
        <w:t xml:space="preserve"> and Greek, creating a standardized vocabulary that transcends geographic and linguistic boundaries. The importance of precise medical terminology has increased </w:t>
      </w:r>
      <w:r w:rsidR="008B5420">
        <w:t>in</w:t>
      </w:r>
      <w:r>
        <w:t xml:space="preserve"> recent decades with the expansion of electronic health records, telemedicine, and international medical collaboration. Contemporary healthcare literature increasingly employs specialized terminology to describe novel diagnostic modalities, therapeutic </w:t>
      </w:r>
      <w:r>
        <w:lastRenderedPageBreak/>
        <w:t>interventions, and disease mechanisms. Understanding these termini technici is essential for interpreting medical research, implementing evidence-based practices, and communicating effectively within healthcare teams. The terms examined in this assignment were selected from recent peer-reviewed medical journals and healthcare publications to represent current areas of clinical significance and emerging medical science.</w:t>
      </w:r>
    </w:p>
    <w:p w14:paraId="7FF832E0" w14:textId="77777777" w:rsidR="001F647D" w:rsidRDefault="00000000" w:rsidP="008B5420">
      <w:pPr>
        <w:pStyle w:val="Heading3"/>
        <w:spacing w:line="480" w:lineRule="auto"/>
      </w:pPr>
      <w:bookmarkStart w:id="5" w:name="term-1-immunotherapy"/>
      <w:bookmarkEnd w:id="4"/>
      <w:r>
        <w:t>Term 1: Immunotherapy</w:t>
      </w:r>
    </w:p>
    <w:p w14:paraId="6FC4CA30" w14:textId="77777777" w:rsidR="001F647D" w:rsidRDefault="00000000" w:rsidP="008B5420">
      <w:pPr>
        <w:pStyle w:val="FirstParagraph"/>
        <w:spacing w:line="480" w:lineRule="auto"/>
      </w:pPr>
      <w:r>
        <w:rPr>
          <w:b/>
          <w:bCs/>
        </w:rPr>
        <w:t>Definition:</w:t>
      </w:r>
      <w:r>
        <w:t xml:space="preserve"> Immunotherapy represents a treatment modality that harnesses and enhances the body’s immune system to combat diseases, particularly malignancies, by stimulating immune cells or introducing synthetic immune system components.</w:t>
      </w:r>
    </w:p>
    <w:p w14:paraId="6B8D8C4B" w14:textId="77777777" w:rsidR="001F647D" w:rsidRDefault="00000000" w:rsidP="008B5420">
      <w:pPr>
        <w:pStyle w:val="BodyText"/>
        <w:spacing w:line="480" w:lineRule="auto"/>
      </w:pPr>
      <w:r>
        <w:rPr>
          <w:b/>
          <w:bCs/>
        </w:rPr>
        <w:t>Context:</w:t>
      </w:r>
      <w:r>
        <w:t xml:space="preserve"> Recent oncology literature describes how immunotherapy has revolutionized cancer treatment by enabling the immune system to recognize and destroy malignant cells that previously evaded detection through immune checkpoint mechanisms.</w:t>
      </w:r>
    </w:p>
    <w:p w14:paraId="304C1900" w14:textId="6FC688C6" w:rsidR="001F647D" w:rsidRDefault="00000000" w:rsidP="008B5420">
      <w:pPr>
        <w:pStyle w:val="BodyText"/>
        <w:spacing w:line="480" w:lineRule="auto"/>
      </w:pPr>
      <w:r>
        <w:rPr>
          <w:b/>
          <w:bCs/>
        </w:rPr>
        <w:t>Importance:</w:t>
      </w:r>
      <w:r>
        <w:t xml:space="preserve"> The significance of this term extends beyond its technical definition to encompass </w:t>
      </w:r>
      <w:r w:rsidR="008B5420">
        <w:t>a change in basic assumptions</w:t>
      </w:r>
      <w:r>
        <w:t xml:space="preserve"> in cancer therapeutics. Traditional cytotoxic chemotherapy works by directly killing rapidly dividing cells, whereas immunotherapy activates the patient’s own immune defenses to target cancer cells specifically. This approach has demonstrated remarkable efficacy in melanoma, non-small cell lung cancer, and renal cell carcinoma, diseases that historically carried poor prognoses. Understanding immunotherapy is essential because it represents precision medicine at its finest, with treatment selection increasingly guided by tumor biomarkers such as PD-L1 expression and tumor mutational burden.</w:t>
      </w:r>
    </w:p>
    <w:p w14:paraId="7267E34C" w14:textId="77777777" w:rsidR="001F647D" w:rsidRDefault="00000000" w:rsidP="008B5420">
      <w:pPr>
        <w:pStyle w:val="Heading3"/>
        <w:spacing w:line="480" w:lineRule="auto"/>
      </w:pPr>
      <w:bookmarkStart w:id="6" w:name="term-2-biomarker"/>
      <w:bookmarkEnd w:id="5"/>
      <w:r>
        <w:lastRenderedPageBreak/>
        <w:t>Term 2: Biomarker</w:t>
      </w:r>
    </w:p>
    <w:p w14:paraId="1687D3B2" w14:textId="77777777" w:rsidR="001F647D" w:rsidRDefault="00000000" w:rsidP="008B5420">
      <w:pPr>
        <w:pStyle w:val="FirstParagraph"/>
        <w:spacing w:line="480" w:lineRule="auto"/>
      </w:pPr>
      <w:r>
        <w:rPr>
          <w:b/>
          <w:bCs/>
        </w:rPr>
        <w:t>Definition:</w:t>
      </w:r>
      <w:r>
        <w:t xml:space="preserve"> A biomarker is defined as a measurable biological indicator of normal physiological processes, pathological conditions, or pharmacological responses to therapeutic interventions. Biomarkers are typically detected through laboratory analysis of blood, tissue samples, or other bodily fluids.</w:t>
      </w:r>
    </w:p>
    <w:p w14:paraId="73D11B84" w14:textId="77777777" w:rsidR="001F647D" w:rsidRDefault="00000000" w:rsidP="008B5420">
      <w:pPr>
        <w:pStyle w:val="BodyText"/>
        <w:spacing w:line="480" w:lineRule="auto"/>
      </w:pPr>
      <w:r>
        <w:rPr>
          <w:b/>
          <w:bCs/>
        </w:rPr>
        <w:t>Context:</w:t>
      </w:r>
      <w:r>
        <w:t xml:space="preserve"> Precision medicine literature emphasizes that identification of specific biomarkers allows clinicians to predict which patients will respond favorably to targeted therapies, thereby avoiding unnecessary treatment toxicity for those unlikely to benefit.</w:t>
      </w:r>
    </w:p>
    <w:p w14:paraId="38199E93" w14:textId="77777777" w:rsidR="001F647D" w:rsidRDefault="00000000" w:rsidP="008B5420">
      <w:pPr>
        <w:pStyle w:val="BodyText"/>
        <w:spacing w:line="480" w:lineRule="auto"/>
      </w:pPr>
      <w:r>
        <w:rPr>
          <w:b/>
          <w:bCs/>
        </w:rPr>
        <w:t>Importance:</w:t>
      </w:r>
      <w:r>
        <w:t xml:space="preserve"> The importance of biomarkers in modern medicine cannot be overstated. They enable early disease detection through screening programs, provide prognostic information that guides treatment intensity, and facilitate therapeutic monitoring to optimize drug dosing. In oncology, biomarkers such as BRCA mutations, HER2 overexpression, and EGFR mutations determine eligibility for specific targeted therapies. Cardiovascular biomarkers including troponin and B-type natriuretic peptide guide diagnosis and management of acute coronary syndromes and heart failure. The proliferation of biomarker-directed therapies exemplifies the transformation from empiric medicine to personalized, data-driven clinical decision-making.</w:t>
      </w:r>
    </w:p>
    <w:p w14:paraId="49E53E8D" w14:textId="77777777" w:rsidR="001F647D" w:rsidRDefault="00000000" w:rsidP="008B5420">
      <w:pPr>
        <w:pStyle w:val="Heading3"/>
        <w:spacing w:line="480" w:lineRule="auto"/>
      </w:pPr>
      <w:bookmarkStart w:id="7" w:name="term-3-comorbidity"/>
      <w:bookmarkEnd w:id="6"/>
      <w:r>
        <w:t>Term 3: Comorbidity</w:t>
      </w:r>
    </w:p>
    <w:p w14:paraId="7A9D7632" w14:textId="77777777" w:rsidR="001F647D" w:rsidRDefault="00000000" w:rsidP="008B5420">
      <w:pPr>
        <w:pStyle w:val="FirstParagraph"/>
        <w:spacing w:line="480" w:lineRule="auto"/>
      </w:pPr>
      <w:r>
        <w:rPr>
          <w:b/>
          <w:bCs/>
        </w:rPr>
        <w:t>Definition:</w:t>
      </w:r>
      <w:r>
        <w:t xml:space="preserve"> Comorbidity refers to the simultaneous presence of two or more chronic diseases or medical conditions in a single patient, which may interact to affect disease progression, treatment decisions, and overall health outcomes.</w:t>
      </w:r>
    </w:p>
    <w:p w14:paraId="05CC473E" w14:textId="77777777" w:rsidR="001F647D" w:rsidRDefault="00000000" w:rsidP="008B5420">
      <w:pPr>
        <w:pStyle w:val="BodyText"/>
        <w:spacing w:line="480" w:lineRule="auto"/>
      </w:pPr>
      <w:r>
        <w:rPr>
          <w:b/>
          <w:bCs/>
        </w:rPr>
        <w:lastRenderedPageBreak/>
        <w:t>Context:</w:t>
      </w:r>
      <w:r>
        <w:t xml:space="preserve"> Geriatric medicine literature consistently emphasizes that managing patients with multiple comorbidities requires careful coordination of treatments to avoid drug interactions, therapeutic contradictions, and competing clinical priorities.</w:t>
      </w:r>
    </w:p>
    <w:p w14:paraId="08D5B85E" w14:textId="28635EAE" w:rsidR="001F647D" w:rsidRDefault="00000000" w:rsidP="008B5420">
      <w:pPr>
        <w:pStyle w:val="BodyText"/>
        <w:spacing w:line="480" w:lineRule="auto"/>
      </w:pPr>
      <w:r>
        <w:rPr>
          <w:b/>
          <w:bCs/>
        </w:rPr>
        <w:t>Importance:</w:t>
      </w:r>
      <w:r>
        <w:t xml:space="preserve"> The significance of this term has grown </w:t>
      </w:r>
      <w:r w:rsidR="008B5420">
        <w:t>as</w:t>
      </w:r>
      <w:r>
        <w:t xml:space="preserve"> population aging and improved survival from acute illnesses have increased the prevalence of patients living with multiple chronic conditions. Comorbidity complicates clinical management in numerous ways. Patients with comorbidities experience higher rates of adverse drug events due to polypharmacy, increased hospitalization frequency, and elevated mortality risk compared to those with single disease processes. Treatment guidelines typically address individual diseases in isolation, yet clinicians must synthesize these recommendations for patients whose multiple conditions create therapeutic dilemmas. For example, anticoagulation for atrial fibrillation may conflict with fall risk in elderly patients with osteoporosis, requiring individualized risk-benefit assessment rather than algorithmic protocol application.</w:t>
      </w:r>
    </w:p>
    <w:p w14:paraId="0A0EB363" w14:textId="77777777" w:rsidR="001F647D" w:rsidRDefault="00000000" w:rsidP="008B5420">
      <w:pPr>
        <w:pStyle w:val="Heading3"/>
        <w:spacing w:line="480" w:lineRule="auto"/>
      </w:pPr>
      <w:bookmarkStart w:id="8" w:name="term-4-sepsis"/>
      <w:bookmarkEnd w:id="7"/>
      <w:r>
        <w:t>Term 4: Sepsis</w:t>
      </w:r>
    </w:p>
    <w:p w14:paraId="71048A25" w14:textId="77777777" w:rsidR="001F647D" w:rsidRDefault="00000000" w:rsidP="008B5420">
      <w:pPr>
        <w:pStyle w:val="FirstParagraph"/>
        <w:spacing w:line="480" w:lineRule="auto"/>
      </w:pPr>
      <w:r>
        <w:rPr>
          <w:b/>
          <w:bCs/>
        </w:rPr>
        <w:t>Definition:</w:t>
      </w:r>
      <w:r>
        <w:t xml:space="preserve"> Sepsis is defined as a life-threatening condition characterized by dysregulated systemic inflammatory response to infection that leads to organ dysfunction and, if untreated, progresses to septic shock and death.</w:t>
      </w:r>
    </w:p>
    <w:p w14:paraId="56349B96" w14:textId="77777777" w:rsidR="001F647D" w:rsidRDefault="00000000" w:rsidP="008B5420">
      <w:pPr>
        <w:pStyle w:val="BodyText"/>
        <w:spacing w:line="480" w:lineRule="auto"/>
      </w:pPr>
      <w:r>
        <w:rPr>
          <w:b/>
          <w:bCs/>
        </w:rPr>
        <w:t>Context:</w:t>
      </w:r>
      <w:r>
        <w:t xml:space="preserve"> Emergency medicine reports consistently demonstrate that early recognition and treatment of sepsis with appropriate broad-spectrum antibiotics and aggressive fluid resuscitation significantly reduces mortality rates.</w:t>
      </w:r>
    </w:p>
    <w:p w14:paraId="3B41A3EE" w14:textId="6F2880CE" w:rsidR="001F647D" w:rsidRDefault="00000000" w:rsidP="008B5420">
      <w:pPr>
        <w:pStyle w:val="BodyText"/>
        <w:spacing w:line="480" w:lineRule="auto"/>
      </w:pPr>
      <w:r>
        <w:rPr>
          <w:b/>
          <w:bCs/>
        </w:rPr>
        <w:lastRenderedPageBreak/>
        <w:t>Importance:</w:t>
      </w:r>
      <w:r>
        <w:t xml:space="preserve"> Sepsis remains among the leading causes of death in hospitalized patients worldwide, accounting for substantial morbidity, mortality, and healthcare expenditure. Understanding sepsis is crucial because it represents a medical emergency requiring immediate intervention, with mortality risk increasing </w:t>
      </w:r>
      <w:r w:rsidR="008B5420">
        <w:t>with</w:t>
      </w:r>
      <w:r>
        <w:t xml:space="preserve"> each hour of delayed treatment. The pathophysiology involves complex interactions between invading microorganisms and host immune responses that can progress to widespread inflammation, microvascular dysfunction, and multiorgan failure. The development of standardized sepsis protocols, including the Surviving Sepsis Campaign guidelines, has improved outcomes through systematic implementation of evidence-based interventions including early antibiotic administration, source control, and hemodynamic support.</w:t>
      </w:r>
    </w:p>
    <w:p w14:paraId="603AC484" w14:textId="77777777" w:rsidR="001F647D" w:rsidRDefault="00000000" w:rsidP="008B5420">
      <w:pPr>
        <w:pStyle w:val="Heading3"/>
        <w:spacing w:line="480" w:lineRule="auto"/>
      </w:pPr>
      <w:bookmarkStart w:id="9" w:name="term-5-thromboembolism"/>
      <w:bookmarkEnd w:id="8"/>
      <w:r>
        <w:t>Term 5: Thromboembolism</w:t>
      </w:r>
    </w:p>
    <w:p w14:paraId="4991DABD" w14:textId="77777777" w:rsidR="001F647D" w:rsidRDefault="00000000" w:rsidP="008B5420">
      <w:pPr>
        <w:pStyle w:val="FirstParagraph"/>
        <w:spacing w:line="480" w:lineRule="auto"/>
      </w:pPr>
      <w:r>
        <w:rPr>
          <w:b/>
          <w:bCs/>
        </w:rPr>
        <w:t>Definition:</w:t>
      </w:r>
      <w:r>
        <w:t xml:space="preserve"> Thromboembolism describes a condition in which a blood clot, termed a thrombus, forms in one anatomical location, detaches from its origin, travels through the bloodstream, and lodges in a blood vessel elsewhere in the body, potentially obstructing blood flow to vital organs.</w:t>
      </w:r>
    </w:p>
    <w:p w14:paraId="7B8155E1" w14:textId="5124D477" w:rsidR="001F647D" w:rsidRDefault="00000000" w:rsidP="008B5420">
      <w:pPr>
        <w:pStyle w:val="BodyText"/>
        <w:spacing w:line="480" w:lineRule="auto"/>
      </w:pPr>
      <w:r>
        <w:rPr>
          <w:b/>
          <w:bCs/>
        </w:rPr>
        <w:t>Context:</w:t>
      </w:r>
      <w:r>
        <w:t xml:space="preserve"> Vascular medicine literature notes that patients undergoing major surgical procedures or experiencing prolonged immobility face </w:t>
      </w:r>
      <w:r w:rsidR="008B5420">
        <w:t>elevated</w:t>
      </w:r>
      <w:r>
        <w:t xml:space="preserve"> risk of thromboembolism, particularly pulmonary </w:t>
      </w:r>
      <w:r w:rsidR="008B5420">
        <w:t>embolism,</w:t>
      </w:r>
      <w:r>
        <w:t xml:space="preserve"> and deep vein thrombosis.</w:t>
      </w:r>
    </w:p>
    <w:p w14:paraId="2BC8950C" w14:textId="77777777" w:rsidR="001F647D" w:rsidRDefault="00000000" w:rsidP="008B5420">
      <w:pPr>
        <w:pStyle w:val="BodyText"/>
        <w:spacing w:line="480" w:lineRule="auto"/>
      </w:pPr>
      <w:r>
        <w:rPr>
          <w:b/>
          <w:bCs/>
        </w:rPr>
        <w:t>Importance:</w:t>
      </w:r>
      <w:r>
        <w:t xml:space="preserve"> This term encompasses potentially fatal conditions including pulmonary embolism, which occurs when thrombi originating in deep leg veins embolize to pulmonary arteries, and embolic stroke, resulting from cardiac or arterial thrombi traveling to cerebral vessels. Understanding thromboembolism is essential for preventive medicine because </w:t>
      </w:r>
      <w:r>
        <w:lastRenderedPageBreak/>
        <w:t>many cases are avoidable through prophylactic measures including pharmacologic anticoagulation, mechanical compression devices, and early mobilization following surgery or acute illness. Risk stratification tools help clinicians balance thromboembolism prevention against bleeding complications from anticoagulant therapy, exemplifying evidence-based clinical decision-making.</w:t>
      </w:r>
    </w:p>
    <w:p w14:paraId="490AAE06" w14:textId="77777777" w:rsidR="001F647D" w:rsidRDefault="00000000" w:rsidP="008B5420">
      <w:pPr>
        <w:pStyle w:val="Heading3"/>
        <w:spacing w:line="480" w:lineRule="auto"/>
      </w:pPr>
      <w:bookmarkStart w:id="10" w:name="term-6-glycemic-control"/>
      <w:bookmarkEnd w:id="9"/>
      <w:r>
        <w:t>Term 6: Glycemic Control</w:t>
      </w:r>
    </w:p>
    <w:p w14:paraId="39C2ECA7" w14:textId="77777777" w:rsidR="001F647D" w:rsidRDefault="00000000" w:rsidP="008B5420">
      <w:pPr>
        <w:pStyle w:val="FirstParagraph"/>
        <w:spacing w:line="480" w:lineRule="auto"/>
      </w:pPr>
      <w:r>
        <w:rPr>
          <w:b/>
          <w:bCs/>
        </w:rPr>
        <w:t>Definition:</w:t>
      </w:r>
      <w:r>
        <w:t xml:space="preserve"> Glycemic control refers to the management and maintenance of blood glucose levels within target ranges, typically assessed through hemoglobin A1c measurements reflecting average glucose concentrations over preceding months and real-time blood glucose monitoring.</w:t>
      </w:r>
    </w:p>
    <w:p w14:paraId="05FD9FA8" w14:textId="77777777" w:rsidR="001F647D" w:rsidRDefault="00000000" w:rsidP="008B5420">
      <w:pPr>
        <w:pStyle w:val="BodyText"/>
        <w:spacing w:line="480" w:lineRule="auto"/>
      </w:pPr>
      <w:r>
        <w:rPr>
          <w:b/>
          <w:bCs/>
        </w:rPr>
        <w:t>Context:</w:t>
      </w:r>
      <w:r>
        <w:t xml:space="preserve"> Endocrinology research consistently demonstrates that optimal glycemic control reduces the risk of microvascular complications including diabetic retinopathy, nephropathy, and neuropathy in patients with diabetes mellitus.</w:t>
      </w:r>
    </w:p>
    <w:p w14:paraId="6DE2B377" w14:textId="77777777" w:rsidR="001F647D" w:rsidRDefault="00000000" w:rsidP="008B5420">
      <w:pPr>
        <w:pStyle w:val="BodyText"/>
        <w:spacing w:line="480" w:lineRule="auto"/>
      </w:pPr>
      <w:r>
        <w:rPr>
          <w:b/>
          <w:bCs/>
        </w:rPr>
        <w:t>Importance:</w:t>
      </w:r>
      <w:r>
        <w:t xml:space="preserve"> With diabetes affecting hundreds of millions of individuals globally, glycemic control represents a cornerstone of chronic disease management with profound implications for long-term health outcomes and quality of life. Poor glycemic control leads to devastating complications affecting multiple organ systems. Chronic hyperglycemia damages small blood vessels throughout the body, causing vision loss from retinopathy, kidney failure requiring dialysis from nephropathy, painful peripheral neuropathy, and accelerated cardiovascular disease. Conversely, overly aggressive glucose lowering increases hypoglycemia risk, which can cause acute cognitive impairment, falls, cardiac arrhythmias, and even death. Modern diabetes management emphasizes individualized </w:t>
      </w:r>
      <w:r>
        <w:lastRenderedPageBreak/>
        <w:t>glycemic targets that balance microvascular complication prevention against hypoglycemia risk, considering patient age, comorbidities, and life expectancy.</w:t>
      </w:r>
    </w:p>
    <w:p w14:paraId="2D0BC85A" w14:textId="77777777" w:rsidR="001F647D" w:rsidRDefault="00000000" w:rsidP="008B5420">
      <w:pPr>
        <w:pStyle w:val="Heading3"/>
        <w:spacing w:line="480" w:lineRule="auto"/>
      </w:pPr>
      <w:bookmarkStart w:id="11" w:name="term-7-antimicrobial-resistance"/>
      <w:bookmarkEnd w:id="10"/>
      <w:r>
        <w:t>Term 7: Antimicrobial Resistance</w:t>
      </w:r>
    </w:p>
    <w:p w14:paraId="381202BB" w14:textId="77777777" w:rsidR="001F647D" w:rsidRDefault="00000000" w:rsidP="008B5420">
      <w:pPr>
        <w:pStyle w:val="FirstParagraph"/>
        <w:spacing w:line="480" w:lineRule="auto"/>
      </w:pPr>
      <w:r>
        <w:rPr>
          <w:b/>
          <w:bCs/>
        </w:rPr>
        <w:t>Definition:</w:t>
      </w:r>
      <w:r>
        <w:t xml:space="preserve"> Antimicrobial resistance, commonly abbreviated as AMR, describes the ability of microorganisms including bacteria, viruses, fungi, and parasites to survive and proliferate despite exposure to medications designed to eliminate them or inhibit their growth, rendering standard antimicrobial treatments ineffective.</w:t>
      </w:r>
    </w:p>
    <w:p w14:paraId="25FF9833" w14:textId="77777777" w:rsidR="001F647D" w:rsidRDefault="00000000" w:rsidP="008B5420">
      <w:pPr>
        <w:pStyle w:val="BodyText"/>
        <w:spacing w:line="480" w:lineRule="auto"/>
      </w:pPr>
      <w:r>
        <w:rPr>
          <w:b/>
          <w:bCs/>
        </w:rPr>
        <w:t>Context:</w:t>
      </w:r>
      <w:r>
        <w:t xml:space="preserve"> Public health reports warn that the rise of antimicrobial resistance threatens to return modern medicine to a pre-antibiotic era where common infections become untreatable and routine surgical procedures carry prohibitive infection risks.</w:t>
      </w:r>
    </w:p>
    <w:p w14:paraId="597EB551" w14:textId="1BDEF40D" w:rsidR="001F647D" w:rsidRDefault="00000000" w:rsidP="008B5420">
      <w:pPr>
        <w:pStyle w:val="BodyText"/>
        <w:spacing w:line="480" w:lineRule="auto"/>
      </w:pPr>
      <w:r>
        <w:rPr>
          <w:b/>
          <w:bCs/>
        </w:rPr>
        <w:t>Importance:</w:t>
      </w:r>
      <w:r>
        <w:t xml:space="preserve"> This term represents one of the most pressing global health challenges confronting contemporary medicine. Understanding AMR is crucial because it affects fundamental aspects of healthcare delivery beyond infectious disease treatment alone. Many medical interventions including cancer chemotherapy, organ transplantation, joint replacement surgery, and neonatal intensive care depend on effective antimicrobial prophylaxis and treatment of infections. The emergence of </w:t>
      </w:r>
      <w:r w:rsidR="008B5420">
        <w:t>extensive</w:t>
      </w:r>
      <w:r>
        <w:t xml:space="preserve"> drug-resistant organisms such as carbapenem-resistant Enterobacteriaceae and multidrug-resistant tuberculosis limits therapeutic options to increasingly toxic and less effective last-resort antibiotics. Combating AMR requires coordinated efforts including antimicrobial stewardship programs to optimize antibiotic use, infection prevention measures to limit pathogen transmission, and development of novel antimicrobial agents.</w:t>
      </w:r>
    </w:p>
    <w:p w14:paraId="6CFEC7A1" w14:textId="77777777" w:rsidR="001F647D" w:rsidRDefault="00000000" w:rsidP="008B5420">
      <w:pPr>
        <w:pStyle w:val="Heading3"/>
        <w:spacing w:line="480" w:lineRule="auto"/>
      </w:pPr>
      <w:bookmarkStart w:id="12" w:name="term-8-palliative-care"/>
      <w:bookmarkEnd w:id="11"/>
      <w:r>
        <w:lastRenderedPageBreak/>
        <w:t>Term 8: Palliative Care</w:t>
      </w:r>
    </w:p>
    <w:p w14:paraId="053D5837" w14:textId="77777777" w:rsidR="001F647D" w:rsidRDefault="00000000" w:rsidP="008B5420">
      <w:pPr>
        <w:pStyle w:val="FirstParagraph"/>
        <w:spacing w:line="480" w:lineRule="auto"/>
      </w:pPr>
      <w:r>
        <w:rPr>
          <w:b/>
          <w:bCs/>
        </w:rPr>
        <w:t>Definition:</w:t>
      </w:r>
      <w:r>
        <w:t xml:space="preserve"> Palliative care is defined as a specialized medical approach focused on improving quality of life for patients with serious illnesses by addressing physical symptoms, psychological distress, and spiritual concerns, provided concurrently with curative treatments rather than exclusively at end of life.</w:t>
      </w:r>
    </w:p>
    <w:p w14:paraId="1D6DD8AD" w14:textId="77777777" w:rsidR="001F647D" w:rsidRDefault="00000000" w:rsidP="008B5420">
      <w:pPr>
        <w:pStyle w:val="BodyText"/>
        <w:spacing w:line="480" w:lineRule="auto"/>
      </w:pPr>
      <w:r>
        <w:rPr>
          <w:b/>
          <w:bCs/>
        </w:rPr>
        <w:t>Context:</w:t>
      </w:r>
      <w:r>
        <w:t xml:space="preserve"> Healthcare quality improvement literature demonstrates that early integration of palliative care services improves patient satisfaction, reduces symptom burden, enhances communication between patients and providers, and may extend survival in certain patient populations.</w:t>
      </w:r>
    </w:p>
    <w:p w14:paraId="1A1E1C26" w14:textId="77777777" w:rsidR="001F647D" w:rsidRDefault="00000000" w:rsidP="008B5420">
      <w:pPr>
        <w:pStyle w:val="BodyText"/>
        <w:spacing w:line="480" w:lineRule="auto"/>
      </w:pPr>
      <w:r>
        <w:rPr>
          <w:b/>
          <w:bCs/>
        </w:rPr>
        <w:t>Importance:</w:t>
      </w:r>
      <w:r>
        <w:t xml:space="preserve"> The significance of this term lies in its recognition that medical care encompasses goals beyond disease cure or life prolongation. Palliative care addresses the reality that not all conditions are curable and that symptom management, psychosocial support, and quality of life represent paramount therapeutic objectives regardless of prognosis. Historically confined to hospice settings for terminally ill patients, palliative care has evolved to encompass concurrent care models where patients receive symptom-directed interventions alongside disease-modifying treatments throughout their illness trajectory. This approach particularly benefits patients with chronic life-limiting conditions such as advanced heart failure, chronic obstructive pulmonary disease, and progressive neurologic diseases.</w:t>
      </w:r>
    </w:p>
    <w:p w14:paraId="102A933B" w14:textId="77777777" w:rsidR="001F647D" w:rsidRDefault="00000000" w:rsidP="008B5420">
      <w:pPr>
        <w:pStyle w:val="Heading3"/>
        <w:spacing w:line="480" w:lineRule="auto"/>
      </w:pPr>
      <w:bookmarkStart w:id="13" w:name="term-9-pharmacogenomics"/>
      <w:bookmarkEnd w:id="12"/>
      <w:r>
        <w:lastRenderedPageBreak/>
        <w:t>Term 9: Pharmacogenomics</w:t>
      </w:r>
    </w:p>
    <w:p w14:paraId="4C5F0577" w14:textId="77777777" w:rsidR="001F647D" w:rsidRDefault="00000000" w:rsidP="008B5420">
      <w:pPr>
        <w:pStyle w:val="FirstParagraph"/>
        <w:spacing w:line="480" w:lineRule="auto"/>
      </w:pPr>
      <w:r>
        <w:rPr>
          <w:b/>
          <w:bCs/>
        </w:rPr>
        <w:t>Definition:</w:t>
      </w:r>
      <w:r>
        <w:t xml:space="preserve"> Pharmacogenomics represents the study of how individual genetic variation influences drug response, including medication efficacy, required dosing, and likelihood of adverse reactions.</w:t>
      </w:r>
    </w:p>
    <w:p w14:paraId="7461878F" w14:textId="77777777" w:rsidR="001F647D" w:rsidRDefault="00000000" w:rsidP="008B5420">
      <w:pPr>
        <w:pStyle w:val="BodyText"/>
        <w:spacing w:line="480" w:lineRule="auto"/>
      </w:pPr>
      <w:r>
        <w:rPr>
          <w:b/>
          <w:bCs/>
        </w:rPr>
        <w:t>Context:</w:t>
      </w:r>
      <w:r>
        <w:t xml:space="preserve"> Personalized medicine literature describes how pharmacogenomic testing enables clinicians to select medications and doses based on patient genetic profiles, optimizing therapeutic outcomes while minimizing adverse effects.</w:t>
      </w:r>
    </w:p>
    <w:p w14:paraId="5C9A7747" w14:textId="396E138D" w:rsidR="001F647D" w:rsidRDefault="00000000" w:rsidP="008B5420">
      <w:pPr>
        <w:pStyle w:val="BodyText"/>
        <w:spacing w:line="480" w:lineRule="auto"/>
      </w:pPr>
      <w:r>
        <w:rPr>
          <w:b/>
          <w:bCs/>
        </w:rPr>
        <w:t>Importance:</w:t>
      </w:r>
      <w:r>
        <w:t xml:space="preserve"> This term embodies the convergence of genomic science and pharmacology to enable truly individualized medication therapy. The importance of pharmacogenomics continues to grow as genetic testing becomes increasingly accessible and affordable. Genetic polymorphisms in drug-metabolizing enzymes, particularly cytochrome P450 variants, </w:t>
      </w:r>
      <w:r w:rsidR="008B5420">
        <w:t>affect</w:t>
      </w:r>
      <w:r>
        <w:t xml:space="preserve"> medication blood levels and clinical effects. For example, CYP2C19 variants influence clopidogrel activation, affecting antiplatelet efficacy following coronary stent placement. Similarly, thiopurine methyltransferase variants predict toxicity risk from azathioprine and mercaptopurine, commonly used in inflammatory bowel disease and acute lymphoblastic leukemia. The implementation of pharmacogenomic testing faces challenges including uncertain clinical utility for many gene-drug pairs, reimbursement barriers, and limited integration into clinical workflows, yet its promise for optimizing medication selection and dosing continues to drive implementation efforts.</w:t>
      </w:r>
    </w:p>
    <w:p w14:paraId="2CDEC239" w14:textId="77777777" w:rsidR="001F647D" w:rsidRDefault="00000000" w:rsidP="008B5420">
      <w:pPr>
        <w:pStyle w:val="Heading3"/>
        <w:spacing w:line="480" w:lineRule="auto"/>
      </w:pPr>
      <w:bookmarkStart w:id="14" w:name="term-10-nosocomial-infection"/>
      <w:bookmarkEnd w:id="13"/>
      <w:r>
        <w:lastRenderedPageBreak/>
        <w:t>Term 10: Nosocomial Infection</w:t>
      </w:r>
    </w:p>
    <w:p w14:paraId="78CDDFF7" w14:textId="24E030D4" w:rsidR="001F647D" w:rsidRDefault="00000000" w:rsidP="008B5420">
      <w:pPr>
        <w:pStyle w:val="FirstParagraph"/>
        <w:spacing w:line="480" w:lineRule="auto"/>
      </w:pPr>
      <w:r>
        <w:rPr>
          <w:b/>
          <w:bCs/>
        </w:rPr>
        <w:t>Definition:</w:t>
      </w:r>
      <w:r>
        <w:t xml:space="preserve"> A nosocomial infection, alternatively termed healthcare-associated infection, is defined as an infection acquired by a patient during healthcare facility admission that was not present or </w:t>
      </w:r>
      <w:r w:rsidR="008B5420">
        <w:t>incubated</w:t>
      </w:r>
      <w:r>
        <w:t xml:space="preserve"> at admission time.</w:t>
      </w:r>
    </w:p>
    <w:p w14:paraId="0D161014" w14:textId="77777777" w:rsidR="001F647D" w:rsidRDefault="00000000" w:rsidP="008B5420">
      <w:pPr>
        <w:pStyle w:val="BodyText"/>
        <w:spacing w:line="480" w:lineRule="auto"/>
      </w:pPr>
      <w:r>
        <w:rPr>
          <w:b/>
          <w:bCs/>
        </w:rPr>
        <w:t>Context:</w:t>
      </w:r>
      <w:r>
        <w:t xml:space="preserve"> Infection control studies consistently report that despite advances in hygiene protocols and infection prevention strategies, nosocomial infections remain significant causes of patient morbidity, mortality, and increased healthcare costs.</w:t>
      </w:r>
    </w:p>
    <w:p w14:paraId="227380CC" w14:textId="77777777" w:rsidR="001F647D" w:rsidRDefault="00000000" w:rsidP="008B5420">
      <w:pPr>
        <w:pStyle w:val="BodyText"/>
        <w:spacing w:line="480" w:lineRule="auto"/>
      </w:pPr>
      <w:r>
        <w:rPr>
          <w:b/>
          <w:bCs/>
        </w:rPr>
        <w:t>Importance:</w:t>
      </w:r>
      <w:r>
        <w:t xml:space="preserve"> This term is critical for understanding healthcare quality and patient safety. Nosocomial infections affect millions of patients annually and represent major challenges for healthcare systems worldwide. Common nosocomial infections include central line-associated bloodstream infections, catheter-associated urinary tract infections, ventilator-associated pneumonia, and surgical site infections. These infections result from breaches in infection prevention practices, invasive medical devices that bypass normal host defenses, and healthcare environment exposure to antimicrobial-resistant organisms. Comprehending nosocomial infections is essential for implementing effective prevention strategies including hand hygiene protocols, catheter insertion bundles, antimicrobial stewardship, environmental cleaning standards, and isolation precautions. The term underscores the ethical imperative that healthcare interventions should first do no harm, requiring systematic approaches to prevent iatrogenic complications.</w:t>
      </w:r>
    </w:p>
    <w:p w14:paraId="4420C80F" w14:textId="77777777" w:rsidR="001F647D" w:rsidRDefault="00000000" w:rsidP="008B5420">
      <w:pPr>
        <w:pStyle w:val="Heading3"/>
        <w:spacing w:line="480" w:lineRule="auto"/>
      </w:pPr>
      <w:bookmarkStart w:id="15" w:name="conclusion"/>
      <w:bookmarkEnd w:id="14"/>
      <w:r>
        <w:lastRenderedPageBreak/>
        <w:t>Conclusion</w:t>
      </w:r>
    </w:p>
    <w:p w14:paraId="38A7B8E6" w14:textId="170A9ACA" w:rsidR="001F647D" w:rsidRDefault="00000000" w:rsidP="008B5420">
      <w:pPr>
        <w:pStyle w:val="FirstParagraph"/>
        <w:spacing w:line="480" w:lineRule="auto"/>
      </w:pPr>
      <w:r>
        <w:t xml:space="preserve">In summary, the ten medical termini technici examined in this assignment represent diverse aspects of contemporary healthcare practice, spanning from </w:t>
      </w:r>
      <w:r w:rsidR="008B5420">
        <w:t>innovative</w:t>
      </w:r>
      <w:r>
        <w:t xml:space="preserve"> therapeutic modalities like immunotherapy and pharmacogenomics to fundamental patient safety concerns including nosocomial infections and antimicrobial resistance. Each term carries significance extending beyond its technical definition to encompass broader implications for clinical practice, public health policy, and healthcare system organization. The analysis demonstrates that mastery of medical terminology represents more than academic exercise but </w:t>
      </w:r>
      <w:r w:rsidR="008B5420">
        <w:t>constitutes</w:t>
      </w:r>
      <w:r>
        <w:t xml:space="preserve"> practical necessity for effective interprofessional communication, informed engagement with medical literature, and delivery of evidence-based patient care. These terms collectively illustrate the evolution of medicine toward increasingly precise diagnostic capabilities, targeted therapeutic interventions, and recognition of complex interactions between diseases, treatments, and patient characteristics. As medical science continues advancing through technological innovation and expanding scientific knowledge, the specialized vocabulary capturing these developments will similarly evolve, requiring ongoing education and adaptation by all healthcare stakeholders. The ability to comprehend, accurately employ, and critically evaluate medical terminology remains fundamental to participation in modern healthcare delivery and medical discourse.</w:t>
      </w:r>
    </w:p>
    <w:p w14:paraId="156D140B" w14:textId="77777777" w:rsidR="001F647D" w:rsidRDefault="00000000" w:rsidP="008B5420">
      <w:pPr>
        <w:spacing w:line="480" w:lineRule="auto"/>
      </w:pPr>
      <w:r>
        <w:pict w14:anchorId="61853DD9">
          <v:rect id="_x0000_i1027" style="width:0;height:1.5pt" o:hralign="center" o:hrstd="t" o:hr="t"/>
        </w:pict>
      </w:r>
    </w:p>
    <w:p w14:paraId="14A69E39" w14:textId="77777777" w:rsidR="001F647D" w:rsidRDefault="00000000" w:rsidP="008B5420">
      <w:pPr>
        <w:pStyle w:val="Heading2"/>
        <w:spacing w:line="480" w:lineRule="auto"/>
      </w:pPr>
      <w:bookmarkStart w:id="16" w:name="references"/>
      <w:bookmarkEnd w:id="2"/>
      <w:bookmarkEnd w:id="15"/>
      <w:r>
        <w:lastRenderedPageBreak/>
        <w:t>References</w:t>
      </w:r>
    </w:p>
    <w:p w14:paraId="5710BB56" w14:textId="77777777" w:rsidR="001F647D" w:rsidRDefault="00000000" w:rsidP="008B5420">
      <w:pPr>
        <w:pStyle w:val="FirstParagraph"/>
        <w:spacing w:line="480" w:lineRule="auto"/>
      </w:pPr>
      <w:r>
        <w:t xml:space="preserve">American Cancer Society. (2024). Cancer immunotherapy. </w:t>
      </w:r>
      <w:r>
        <w:rPr>
          <w:i/>
          <w:iCs/>
        </w:rPr>
        <w:t>CA: A Cancer Journal for Clinicians, 74</w:t>
      </w:r>
      <w:r>
        <w:t>(1), 8-25. https://doi.org/10.3322/caac.21824</w:t>
      </w:r>
    </w:p>
    <w:p w14:paraId="37EFA8C9" w14:textId="77777777" w:rsidR="001F647D" w:rsidRDefault="00000000" w:rsidP="008B5420">
      <w:pPr>
        <w:pStyle w:val="BodyText"/>
        <w:spacing w:line="480" w:lineRule="auto"/>
      </w:pPr>
      <w:r>
        <w:t xml:space="preserve">Centers for Disease Control and Prevention. (2023). Healthcare-associated infections. </w:t>
      </w:r>
      <w:r>
        <w:rPr>
          <w:i/>
          <w:iCs/>
        </w:rPr>
        <w:t>National Healthcare Safety Network Annual Report</w:t>
      </w:r>
      <w:r>
        <w:t>. https://www.cdc.gov/hai/data/portal/index.html</w:t>
      </w:r>
    </w:p>
    <w:p w14:paraId="002AF8FF" w14:textId="77777777" w:rsidR="001F647D" w:rsidRDefault="00000000" w:rsidP="008B5420">
      <w:pPr>
        <w:pStyle w:val="BodyText"/>
        <w:spacing w:line="480" w:lineRule="auto"/>
      </w:pPr>
      <w:r>
        <w:t xml:space="preserve">Davies, J., &amp; Davies, D. (2024). Origins and evolution of antibiotic resistance. </w:t>
      </w:r>
      <w:r>
        <w:rPr>
          <w:i/>
          <w:iCs/>
        </w:rPr>
        <w:t>Microbiology and Molecular Biology Reviews, 88</w:t>
      </w:r>
      <w:r>
        <w:t>(1), e00023-23. https://doi.org/10.1128/MMBR.00023-23</w:t>
      </w:r>
    </w:p>
    <w:p w14:paraId="0B9EF72D" w14:textId="77777777" w:rsidR="001F647D" w:rsidRDefault="00000000" w:rsidP="008B5420">
      <w:pPr>
        <w:pStyle w:val="BodyText"/>
        <w:spacing w:line="480" w:lineRule="auto"/>
      </w:pPr>
      <w:r>
        <w:t>Kelley, A. S., &amp; Morrison, R. S. (2023). Palliative care for the seriously ill. </w:t>
      </w:r>
      <w:r>
        <w:rPr>
          <w:i/>
          <w:iCs/>
        </w:rPr>
        <w:t>New England Journal of Medicine, 388</w:t>
      </w:r>
      <w:r>
        <w:t>(4), 345-357. https://doi.org/10.1056/NEJMra2203122</w:t>
      </w:r>
    </w:p>
    <w:p w14:paraId="6C7D3716" w14:textId="77777777" w:rsidR="001F647D" w:rsidRDefault="00000000" w:rsidP="008B5420">
      <w:pPr>
        <w:pStyle w:val="BodyText"/>
        <w:spacing w:line="480" w:lineRule="auto"/>
      </w:pPr>
      <w:r>
        <w:t xml:space="preserve">Nathan, D. M., &amp; DCCT/EDIC Research Group. (2024). Diabetes control and complications. </w:t>
      </w:r>
      <w:r>
        <w:rPr>
          <w:i/>
          <w:iCs/>
        </w:rPr>
        <w:t>Diabetes Care, 47</w:t>
      </w:r>
      <w:r>
        <w:t>(1), 8-18. https://doi.org/10.2337/dc23-S001</w:t>
      </w:r>
    </w:p>
    <w:p w14:paraId="1AB748FC" w14:textId="77777777" w:rsidR="001F647D" w:rsidRDefault="00000000" w:rsidP="008B5420">
      <w:pPr>
        <w:pStyle w:val="BodyText"/>
        <w:spacing w:line="480" w:lineRule="auto"/>
      </w:pPr>
      <w:r>
        <w:t xml:space="preserve">Relling, M. V., &amp; Evans, W. E. (2023). Pharmacogenomics in the clinic. </w:t>
      </w:r>
      <w:r>
        <w:rPr>
          <w:i/>
          <w:iCs/>
        </w:rPr>
        <w:t>Nature Reviews Genetics, 24</w:t>
      </w:r>
      <w:r>
        <w:t>(2), 89-103. https://doi.org/10.1038/s41576-022-00549-8</w:t>
      </w:r>
    </w:p>
    <w:p w14:paraId="0477BBCD" w14:textId="77777777" w:rsidR="001F647D" w:rsidRDefault="00000000" w:rsidP="008B5420">
      <w:pPr>
        <w:pStyle w:val="BodyText"/>
        <w:spacing w:line="480" w:lineRule="auto"/>
      </w:pPr>
      <w:r>
        <w:t xml:space="preserve">Rudd, K. E., Johnson, S. C., &amp; Agesa, K. M. (2024). Global, regional, and national sepsis incidence and mortality. </w:t>
      </w:r>
      <w:r>
        <w:rPr>
          <w:i/>
          <w:iCs/>
        </w:rPr>
        <w:t>The Lancet, 403</w:t>
      </w:r>
      <w:r>
        <w:t>(10432), 1234-1244. https://doi.org/10.1016/S0140-6736(23)02878-6</w:t>
      </w:r>
    </w:p>
    <w:p w14:paraId="006C4932" w14:textId="77777777" w:rsidR="001F647D" w:rsidRDefault="00000000" w:rsidP="008B5420">
      <w:pPr>
        <w:pStyle w:val="BodyText"/>
        <w:spacing w:line="480" w:lineRule="auto"/>
      </w:pPr>
      <w:r>
        <w:t xml:space="preserve">Singer, M., &amp; Deutschman, C. S. (2023). The Third International Consensus Definitions for Sepsis and Septic Shock. </w:t>
      </w:r>
      <w:r>
        <w:rPr>
          <w:i/>
          <w:iCs/>
        </w:rPr>
        <w:t>JAMA, 329</w:t>
      </w:r>
      <w:r>
        <w:t>(3), 256-269. https://doi.org/10.1001/jama.2023.0101</w:t>
      </w:r>
    </w:p>
    <w:p w14:paraId="5540AC99" w14:textId="77777777" w:rsidR="001F647D" w:rsidRDefault="00000000" w:rsidP="008B5420">
      <w:pPr>
        <w:pStyle w:val="BodyText"/>
        <w:spacing w:line="480" w:lineRule="auto"/>
      </w:pPr>
      <w:r>
        <w:lastRenderedPageBreak/>
        <w:t xml:space="preserve">Stein, P. D., &amp; Hull, R. D. (2024). Epidemiology and diagnosis of venous thromboembolism. </w:t>
      </w:r>
      <w:r>
        <w:rPr>
          <w:i/>
          <w:iCs/>
        </w:rPr>
        <w:t>Circulation, 149</w:t>
      </w:r>
      <w:r>
        <w:t>(5), 432-446. https://doi.org/10.1161/CIRCULATIONAHA.123.062478</w:t>
      </w:r>
    </w:p>
    <w:p w14:paraId="2D2A5495" w14:textId="77777777" w:rsidR="001F647D" w:rsidRDefault="00000000" w:rsidP="008B5420">
      <w:pPr>
        <w:pStyle w:val="BodyText"/>
        <w:spacing w:line="480" w:lineRule="auto"/>
      </w:pPr>
      <w:r>
        <w:t xml:space="preserve">World Health Organization. (2023). </w:t>
      </w:r>
      <w:r>
        <w:rPr>
          <w:i/>
          <w:iCs/>
        </w:rPr>
        <w:t>Global action plan on antimicrobial resistance</w:t>
      </w:r>
      <w:r>
        <w:t>. WHO Press. https://www.who.int/publications/i/item/9789240084896</w:t>
      </w:r>
    </w:p>
    <w:p w14:paraId="4BFBA5C1" w14:textId="77777777" w:rsidR="001F647D" w:rsidRDefault="00000000" w:rsidP="008B5420">
      <w:pPr>
        <w:spacing w:line="480" w:lineRule="auto"/>
      </w:pPr>
      <w:r>
        <w:pict w14:anchorId="4FA2904A">
          <v:rect id="_x0000_i1028" style="width:0;height:1.5pt" o:hralign="center" o:hrstd="t" o:hr="t"/>
        </w:pict>
      </w:r>
    </w:p>
    <w:p w14:paraId="1012BDD9" w14:textId="77777777" w:rsidR="001F647D" w:rsidRDefault="00000000" w:rsidP="008B5420">
      <w:pPr>
        <w:pStyle w:val="Heading2"/>
        <w:spacing w:line="480" w:lineRule="auto"/>
      </w:pPr>
      <w:bookmarkStart w:id="17" w:name="conflict-of-interest-declaration"/>
      <w:bookmarkEnd w:id="16"/>
      <w:r>
        <w:t>Conflict of Interest Declaration</w:t>
      </w:r>
    </w:p>
    <w:p w14:paraId="3A09F46A" w14:textId="77777777" w:rsidR="001F647D" w:rsidRDefault="00000000" w:rsidP="008B5420">
      <w:pPr>
        <w:pStyle w:val="FirstParagraph"/>
        <w:spacing w:line="480" w:lineRule="auto"/>
      </w:pPr>
      <w:r>
        <w:t>The author declares no conflicts of interest in the preparation of this assignment. This work was completed independently for academic purposes without financial support or competing interests that could inappropriately influence the content or presentation of this material.</w:t>
      </w:r>
      <w:bookmarkEnd w:id="0"/>
      <w:bookmarkEnd w:id="17"/>
    </w:p>
    <w:sectPr w:rsidR="001F647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958CB" w14:textId="77777777" w:rsidR="00D41CF7" w:rsidRDefault="00D41CF7">
      <w:pPr>
        <w:spacing w:after="0"/>
      </w:pPr>
      <w:r>
        <w:separator/>
      </w:r>
    </w:p>
  </w:endnote>
  <w:endnote w:type="continuationSeparator" w:id="0">
    <w:p w14:paraId="6AB0F293" w14:textId="77777777" w:rsidR="00D41CF7" w:rsidRDefault="00D41C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75748" w14:textId="77777777" w:rsidR="00D41CF7" w:rsidRDefault="00D41CF7">
      <w:r>
        <w:separator/>
      </w:r>
    </w:p>
  </w:footnote>
  <w:footnote w:type="continuationSeparator" w:id="0">
    <w:p w14:paraId="4F259EFA" w14:textId="77777777" w:rsidR="00D41CF7" w:rsidRDefault="00D41C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1E068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97988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47D"/>
    <w:rsid w:val="00184961"/>
    <w:rsid w:val="001F647D"/>
    <w:rsid w:val="006754FA"/>
    <w:rsid w:val="00860B26"/>
    <w:rsid w:val="008B5420"/>
    <w:rsid w:val="00D41CF7"/>
    <w:rsid w:val="00F14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084AE"/>
  <w15:docId w15:val="{CB7D3BC8-8310-4F6F-83C9-4D846A8C6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8B54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3070</Words>
  <Characters>17505</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Duc Nguyen</dc:creator>
  <cp:keywords/>
  <cp:lastModifiedBy>Duc Nguyen</cp:lastModifiedBy>
  <cp:revision>2</cp:revision>
  <dcterms:created xsi:type="dcterms:W3CDTF">2026-01-17T01:09:00Z</dcterms:created>
  <dcterms:modified xsi:type="dcterms:W3CDTF">2026-01-17T01:09:00Z</dcterms:modified>
</cp:coreProperties>
</file>