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D6CA1" w14:textId="77777777" w:rsidR="0036298D" w:rsidRDefault="0036298D">
      <w:pPr>
        <w:spacing w:before="600"/>
      </w:pPr>
    </w:p>
    <w:p w14:paraId="07FD25D9" w14:textId="77777777" w:rsidR="0036298D" w:rsidRPr="004F64F0" w:rsidRDefault="00000000">
      <w:pPr>
        <w:spacing w:line="480" w:lineRule="auto"/>
        <w:jc w:val="center"/>
        <w:rPr>
          <w:b/>
          <w:bCs/>
        </w:rPr>
      </w:pPr>
      <w:r w:rsidRPr="004F64F0">
        <w:rPr>
          <w:b/>
          <w:bCs/>
        </w:rPr>
        <w:t>Identifying Risks in a Medical Case Study:</w:t>
      </w:r>
    </w:p>
    <w:p w14:paraId="15A1A2A4" w14:textId="07218232" w:rsidR="0036298D" w:rsidRPr="004F64F0" w:rsidRDefault="00000000">
      <w:pPr>
        <w:spacing w:line="480" w:lineRule="auto"/>
        <w:jc w:val="center"/>
        <w:rPr>
          <w:b/>
          <w:bCs/>
        </w:rPr>
      </w:pPr>
      <w:r w:rsidRPr="004F64F0">
        <w:rPr>
          <w:b/>
          <w:bCs/>
        </w:rPr>
        <w:t xml:space="preserve">A 70-Year-Old Male </w:t>
      </w:r>
      <w:r w:rsidR="004F64F0" w:rsidRPr="004F64F0">
        <w:rPr>
          <w:b/>
          <w:bCs/>
        </w:rPr>
        <w:t>with</w:t>
      </w:r>
      <w:r w:rsidRPr="004F64F0">
        <w:rPr>
          <w:b/>
          <w:bCs/>
        </w:rPr>
        <w:t xml:space="preserve"> Poorly Controlled Type 2 Diabetes</w:t>
      </w:r>
    </w:p>
    <w:p w14:paraId="74E938E1" w14:textId="77777777" w:rsidR="0036298D" w:rsidRDefault="0036298D">
      <w:pPr>
        <w:spacing w:line="480" w:lineRule="auto"/>
        <w:jc w:val="center"/>
      </w:pPr>
    </w:p>
    <w:p w14:paraId="3237FEA2" w14:textId="77777777" w:rsidR="0036298D" w:rsidRDefault="0036298D">
      <w:pPr>
        <w:spacing w:line="480" w:lineRule="auto"/>
        <w:jc w:val="center"/>
      </w:pPr>
    </w:p>
    <w:p w14:paraId="29306019" w14:textId="77777777" w:rsidR="0036298D" w:rsidRDefault="00000000">
      <w:pPr>
        <w:spacing w:line="480" w:lineRule="auto"/>
        <w:jc w:val="center"/>
      </w:pPr>
      <w:r>
        <w:t>Duc Nguyen</w:t>
      </w:r>
    </w:p>
    <w:p w14:paraId="3FE3715B" w14:textId="77777777" w:rsidR="0036298D" w:rsidRDefault="0036298D">
      <w:pPr>
        <w:spacing w:line="480" w:lineRule="auto"/>
        <w:jc w:val="center"/>
      </w:pPr>
    </w:p>
    <w:p w14:paraId="13807479" w14:textId="77777777" w:rsidR="0036298D" w:rsidRDefault="00000000">
      <w:pPr>
        <w:spacing w:line="480" w:lineRule="auto"/>
        <w:jc w:val="center"/>
      </w:pPr>
      <w:r>
        <w:t>ITAI 4375: AI in Healthcare</w:t>
      </w:r>
    </w:p>
    <w:p w14:paraId="4200F337" w14:textId="77777777" w:rsidR="0036298D" w:rsidRDefault="0036298D">
      <w:pPr>
        <w:spacing w:line="480" w:lineRule="auto"/>
        <w:jc w:val="center"/>
      </w:pPr>
    </w:p>
    <w:p w14:paraId="397F53BB" w14:textId="77777777" w:rsidR="0036298D" w:rsidRDefault="00000000">
      <w:pPr>
        <w:spacing w:line="480" w:lineRule="auto"/>
        <w:jc w:val="center"/>
      </w:pPr>
      <w:r>
        <w:t>Houston Community College</w:t>
      </w:r>
    </w:p>
    <w:p w14:paraId="64BC0319" w14:textId="77777777" w:rsidR="0036298D" w:rsidRDefault="0036298D">
      <w:pPr>
        <w:spacing w:line="480" w:lineRule="auto"/>
        <w:jc w:val="center"/>
      </w:pPr>
    </w:p>
    <w:p w14:paraId="1BCFD1F1" w14:textId="77777777" w:rsidR="0036298D" w:rsidRDefault="00000000">
      <w:pPr>
        <w:spacing w:line="480" w:lineRule="auto"/>
        <w:jc w:val="center"/>
      </w:pPr>
      <w:r>
        <w:t>Instructor: Dr. Doreen Rosenstrauch</w:t>
      </w:r>
    </w:p>
    <w:p w14:paraId="0EB5C7B2" w14:textId="77777777" w:rsidR="0036298D" w:rsidRDefault="0036298D">
      <w:pPr>
        <w:spacing w:line="480" w:lineRule="auto"/>
        <w:jc w:val="center"/>
      </w:pPr>
    </w:p>
    <w:p w14:paraId="6EBAB387" w14:textId="77777777" w:rsidR="0036298D" w:rsidRDefault="00000000">
      <w:pPr>
        <w:spacing w:line="480" w:lineRule="auto"/>
        <w:jc w:val="center"/>
      </w:pPr>
      <w:r>
        <w:t>March 17, 2026</w:t>
      </w:r>
    </w:p>
    <w:p w14:paraId="0B864745" w14:textId="77777777" w:rsidR="0036298D" w:rsidRDefault="00000000">
      <w:r>
        <w:br w:type="page"/>
      </w:r>
    </w:p>
    <w:p w14:paraId="3968D40B" w14:textId="77777777" w:rsidR="0036298D" w:rsidRDefault="0036298D">
      <w:pPr>
        <w:sectPr w:rsidR="0036298D">
          <w:headerReference w:type="default" r:id="rId7"/>
          <w:footerReference w:type="default" r:id="rId8"/>
          <w:pgSz w:w="12240" w:h="15840"/>
          <w:pgMar w:top="1440" w:right="1440" w:bottom="1440" w:left="1440" w:header="708" w:footer="708" w:gutter="0"/>
          <w:cols w:space="720"/>
          <w:docGrid w:linePitch="360"/>
        </w:sectPr>
      </w:pPr>
    </w:p>
    <w:p w14:paraId="059B89C2" w14:textId="77777777" w:rsidR="0036298D" w:rsidRDefault="00000000">
      <w:pPr>
        <w:spacing w:line="480" w:lineRule="auto"/>
        <w:jc w:val="center"/>
      </w:pPr>
      <w:r>
        <w:lastRenderedPageBreak/>
        <w:t>Abstract</w:t>
      </w:r>
    </w:p>
    <w:p w14:paraId="3B009033" w14:textId="19E2C6E1" w:rsidR="0036298D" w:rsidRDefault="00000000">
      <w:pPr>
        <w:spacing w:line="480" w:lineRule="auto"/>
      </w:pPr>
      <w:r>
        <w:t xml:space="preserve">This report analyzes a published medical case study involving a 70-year-old male with poorly controlled type 2 diabetes mellitus and hypertension who presented in diabetic ketoacidosis and was subsequently diagnosed with a diabetic foot ulcer and acute depression. Three major health risks are identified from </w:t>
      </w:r>
      <w:r w:rsidR="004F64F0">
        <w:t>clinical</w:t>
      </w:r>
      <w:r>
        <w:t xml:space="preserve"> details: uncontrolled hyperglycemia progressing to diabetic ketoacidosis, diabetic foot ulceration with high infection and amputation potential, and polypharmacy-driven medication non-adherence contributing to rapid hospital readmission. For each risk, this report explains its clinical importance and the consequences of leaving it unaddressed. The analysis then explores how artificial intelligence </w:t>
      </w:r>
      <w:r w:rsidR="004F64F0">
        <w:t xml:space="preserve">technologies, </w:t>
      </w:r>
      <w:r>
        <w:t>including predictive glucose monitoring algorithms, computer vision wound assessment tools, and AI-enabled medication adherence platforms—could help manage or reduce these risks. The report concludes that structured risk identification, augmented by AI-driven tools, represents a critical strategy for improving outcomes in medically complex older adults. Sources include recent peer-reviewed publications from high-impact journals.</w:t>
      </w:r>
    </w:p>
    <w:p w14:paraId="1FA8BB43" w14:textId="77777777" w:rsidR="0036298D" w:rsidRDefault="0036298D">
      <w:pPr>
        <w:spacing w:line="480" w:lineRule="auto"/>
      </w:pPr>
    </w:p>
    <w:p w14:paraId="2724BECD" w14:textId="77777777" w:rsidR="0036298D" w:rsidRDefault="00000000">
      <w:pPr>
        <w:spacing w:line="480" w:lineRule="auto"/>
      </w:pPr>
      <w:r>
        <w:rPr>
          <w:i/>
          <w:iCs/>
        </w:rPr>
        <w:t xml:space="preserve">Keywords: </w:t>
      </w:r>
      <w:r>
        <w:t>risk identification, type 2 diabetes, diabetic ketoacidosis, diabetic foot, polypharmacy, artificial intelligence, older adults</w:t>
      </w:r>
    </w:p>
    <w:p w14:paraId="47B8808F" w14:textId="77777777" w:rsidR="0036298D" w:rsidRDefault="00000000">
      <w:r>
        <w:br w:type="page"/>
      </w:r>
    </w:p>
    <w:p w14:paraId="0C28CFBC" w14:textId="77777777" w:rsidR="0036298D" w:rsidRDefault="00000000">
      <w:pPr>
        <w:spacing w:line="480" w:lineRule="auto"/>
        <w:jc w:val="center"/>
      </w:pPr>
      <w:r>
        <w:rPr>
          <w:b/>
          <w:bCs/>
        </w:rPr>
        <w:lastRenderedPageBreak/>
        <w:t>Identifying Risks in a Medical Case Study</w:t>
      </w:r>
    </w:p>
    <w:p w14:paraId="14B61459" w14:textId="77777777" w:rsidR="0036298D" w:rsidRDefault="00000000">
      <w:pPr>
        <w:spacing w:line="480" w:lineRule="auto"/>
        <w:jc w:val="center"/>
      </w:pPr>
      <w:r>
        <w:rPr>
          <w:b/>
          <w:bCs/>
        </w:rPr>
        <w:t>Introduction</w:t>
      </w:r>
    </w:p>
    <w:p w14:paraId="283764E3" w14:textId="57462DB4" w:rsidR="0036298D" w:rsidRDefault="00000000">
      <w:pPr>
        <w:spacing w:line="480" w:lineRule="auto"/>
        <w:ind w:firstLine="720"/>
      </w:pPr>
      <w:r>
        <w:t xml:space="preserve">Risk identification is a cornerstone of safe, effective healthcare delivery. When clinicians systematically evaluate the medical, behavioral, and situational factors that threaten a patient’s well-being, they create opportunities to intervene before complications escalate into emergencies. This principle applies with particular force to older adults living with chronic diseases, whose overlapping conditions, multiple medications, and age-related vulnerabilities create a compounding web of hazards. </w:t>
      </w:r>
      <w:r>
        <w:rPr>
          <w:b/>
          <w:bCs/>
        </w:rPr>
        <w:t xml:space="preserve">The central argument of this report is that early, structured identification of health </w:t>
      </w:r>
      <w:r w:rsidR="004F64F0">
        <w:rPr>
          <w:b/>
          <w:bCs/>
        </w:rPr>
        <w:t>risks measured</w:t>
      </w:r>
      <w:r>
        <w:rPr>
          <w:b/>
          <w:bCs/>
        </w:rPr>
        <w:t xml:space="preserve"> by emerging artificial intelligence (AI) technologies—can meaningfully reduce preventable complications and improve outcomes for medically complex patients.</w:t>
      </w:r>
      <w:r>
        <w:t xml:space="preserve"> The following analysis examines a published case report of a 70-year-old male hospitalized with poorly controlled type 2 diabetes, identifies three major health risks drawn from the clinical details, and explores how AI-driven tools could help manage or reduce each risk.</w:t>
      </w:r>
    </w:p>
    <w:p w14:paraId="70262809" w14:textId="77777777" w:rsidR="0036298D" w:rsidRDefault="00000000">
      <w:pPr>
        <w:spacing w:line="480" w:lineRule="auto"/>
        <w:jc w:val="center"/>
      </w:pPr>
      <w:r>
        <w:rPr>
          <w:b/>
          <w:bCs/>
        </w:rPr>
        <w:t>Background</w:t>
      </w:r>
    </w:p>
    <w:p w14:paraId="02DADDBB" w14:textId="6D1B61C5" w:rsidR="0036298D" w:rsidRDefault="00000000">
      <w:pPr>
        <w:spacing w:line="480" w:lineRule="auto"/>
        <w:ind w:firstLine="720"/>
      </w:pPr>
      <w:r>
        <w:t xml:space="preserve">Type 2 diabetes mellitus (T2DM) is among the fastest-growing public health challenges worldwide. The International Diabetes Federation estimates that approximately 537 million adults currently live with diabetes, a figure projected to reach 783 million by 2045, with older adults bearing a disproportionate share of the disease burden (Hossain et al., 2024). In individuals aged </w:t>
      </w:r>
      <w:r w:rsidR="004F64F0">
        <w:t>sixty-five</w:t>
      </w:r>
      <w:r>
        <w:t xml:space="preserve"> and older, T2DM rarely exists in isolation; it commonly co-occurs with hypertension, coronary artery disease, chronic kidney disease, and metabolic syndrome. A large cross-sectional study of 2,770 older diabetic patients found that 71.4 percent had metabolic syndrome and 54.4 percent had concurrent hypertension, illustrating the sheer prevalence of </w:t>
      </w:r>
      <w:r>
        <w:lastRenderedPageBreak/>
        <w:t>multimorbidity in this population (Rabizadeh et al., 2024). The American Diabetes Association’s 2024 Standards of Care acknowledge that older adults with diabetes experience higher rates of functional disability, accelerated muscle loss, mobility impairment, frailty, and premature death compared with age-matched peers without the disease (American Diabetes Association [ADA], 2024).</w:t>
      </w:r>
    </w:p>
    <w:p w14:paraId="2178F72C" w14:textId="77777777" w:rsidR="0036298D" w:rsidRDefault="00000000">
      <w:pPr>
        <w:spacing w:line="480" w:lineRule="auto"/>
        <w:ind w:firstLine="720"/>
      </w:pPr>
      <w:r>
        <w:t>Managing diabetes in older adults is further complicated by polypharmacy, cognitive decline, limited social support, and economic constraints—factors that together create a high-risk environment for treatment failure and recurrent hospitalization. AI technologies offer a promising avenue for addressing some of these challenges by enabling continuous remote monitoring, automating clinical alerts, and personalizing care plans at a scale that traditional approaches cannot match (Alhejaily et al., 2024). Against this backdrop, the case study analyzed in this report provides a concrete example of what can go wrong when chronic disease management breaks down in a vulnerable older adult, and how AI might have altered the outcome.</w:t>
      </w:r>
    </w:p>
    <w:p w14:paraId="38AF1B38" w14:textId="77777777" w:rsidR="0036298D" w:rsidRDefault="00000000">
      <w:pPr>
        <w:spacing w:line="480" w:lineRule="auto"/>
        <w:jc w:val="center"/>
      </w:pPr>
      <w:r>
        <w:rPr>
          <w:b/>
          <w:bCs/>
        </w:rPr>
        <w:t>Case Summary</w:t>
      </w:r>
    </w:p>
    <w:p w14:paraId="30B401B8" w14:textId="77777777" w:rsidR="0036298D" w:rsidRDefault="00000000">
      <w:pPr>
        <w:spacing w:line="480" w:lineRule="auto"/>
        <w:ind w:firstLine="720"/>
      </w:pPr>
      <w:r>
        <w:t xml:space="preserve">The case selected for this analysis was published by Mwitumwa et al. (2025) in the journal </w:t>
      </w:r>
      <w:r>
        <w:rPr>
          <w:i/>
          <w:iCs/>
        </w:rPr>
        <w:t>Medicine</w:t>
      </w:r>
      <w:r>
        <w:t xml:space="preserve"> and describes a 70-year-old male patient who presented to Senanga General Hospital in Zambia on February 17, 2024, with generalized body weakness, inability to eat, and diffuse body pain. The patient had a known history of T2DM and hypertension since 2015 and was taking metformin, glibenclamide (daonil), nifedipine, enalapril, and moduretic. On arrival, physical examination revealed that the patient was unconscious, unable to speak, exhibited labored breathing, and had a fruity odor on his breath—a classic indicator of diabetic ketoacidosis (DKA). During his hospital stay, the patient was additionally diagnosed with a </w:t>
      </w:r>
      <w:r>
        <w:lastRenderedPageBreak/>
        <w:t>diabetic foot ulcer and acute depression. A multidisciplinary team including medical officers, nutritionists, eye-care providers, nursing staff, and psychosocial counselors provided collaborative care. Despite these interventions, the patient’s condition continued to deteriorate, and he died on March 8, 2024 (Mwitumwa et al., 2025). This case vividly illustrates the cascading dangers that emerge when chronic disease management breaks down in an older adult.</w:t>
      </w:r>
    </w:p>
    <w:p w14:paraId="04B2C989" w14:textId="77777777" w:rsidR="0036298D" w:rsidRDefault="00000000">
      <w:pPr>
        <w:spacing w:line="480" w:lineRule="auto"/>
        <w:jc w:val="center"/>
      </w:pPr>
      <w:r>
        <w:rPr>
          <w:b/>
          <w:bCs/>
        </w:rPr>
        <w:t>Risk 1: Uncontrolled Hyperglycemia and Diabetic Ketoacidosis</w:t>
      </w:r>
    </w:p>
    <w:p w14:paraId="59EA5081" w14:textId="77777777" w:rsidR="0036298D" w:rsidRDefault="00000000">
      <w:pPr>
        <w:spacing w:line="480" w:lineRule="auto"/>
        <w:ind w:firstLine="720"/>
      </w:pPr>
      <w:r>
        <w:t>The most immediate threat to this patient was severely uncontrolled blood glucose, which progressed to DKA—a life-threatening metabolic crisis. DKA occurs when the body lacks sufficient insulin to utilize glucose for energy and begins breaking down fat at an accelerated rate, producing acidic ketone bodies that accumulate in the bloodstream (Mwitumwa et al., 2025). The patient’s fruity breath odor, unconsciousness, and labored breathing upon arrival were textbook signs of this condition. For a 70-year-old with a nine-year diabetes history, the development of DKA suggests a prolonged period of inadequate glycemic control, possibly compounded by missed medication doses, infection, or dietary lapses. The ADA’s Standards of Care note that comprehensive cardiovascular risk factor modification—rather than aggressive glucose lowering alone—is most likely to reduce morbidity and mortality in this population (ADA, 2024).</w:t>
      </w:r>
    </w:p>
    <w:p w14:paraId="0D1F4680" w14:textId="77777777" w:rsidR="0036298D" w:rsidRDefault="00000000">
      <w:pPr>
        <w:spacing w:line="480" w:lineRule="auto"/>
        <w:ind w:firstLine="720"/>
      </w:pPr>
      <w:r>
        <w:t>If this risk is not addressed promptly, DKA can progress to cerebral edema, cardiac arrhythmias, organ failure, and death. Even when acute DKA is resolved, repeated episodes of severe hyperglycemia accelerate microvascular damage to the eyes, kidneys, and peripheral nerves, compounding the patient’s long-term complication burden.</w:t>
      </w:r>
    </w:p>
    <w:p w14:paraId="03E0439E" w14:textId="77777777" w:rsidR="0036298D" w:rsidRDefault="00000000">
      <w:pPr>
        <w:spacing w:line="480" w:lineRule="auto"/>
        <w:jc w:val="center"/>
      </w:pPr>
      <w:r>
        <w:rPr>
          <w:b/>
          <w:bCs/>
        </w:rPr>
        <w:t>Risk 2: Diabetic Foot Ulcer and Infection Risk</w:t>
      </w:r>
    </w:p>
    <w:p w14:paraId="4D8EB0D5" w14:textId="77777777" w:rsidR="0036298D" w:rsidRDefault="00000000">
      <w:pPr>
        <w:spacing w:line="480" w:lineRule="auto"/>
        <w:ind w:firstLine="720"/>
      </w:pPr>
      <w:r>
        <w:lastRenderedPageBreak/>
        <w:t>The second major risk identified in this case is the diabetic foot ulcer diagnosed during hospitalization. Diabetic foot disease is one of the most feared complications of long-standing diabetes because it sits at the intersection of peripheral neuropathy (nerve damage that reduces sensation in the feet), peripheral arterial disease (impaired blood flow to the lower extremities), and immune dysfunction that slows wound healing (Hossain et al., 2024). A patient who cannot feel a developing blister or wound is unlikely to seek care until the tissue damage is advanced. In low-resource settings such as the one described in this case, access to specialized wound-care teams, vascular assessment, and offloading devices may be limited, further raising the risk of rapid progression.</w:t>
      </w:r>
    </w:p>
    <w:p w14:paraId="7622AA33" w14:textId="77777777" w:rsidR="0036298D" w:rsidRDefault="00000000">
      <w:pPr>
        <w:spacing w:line="480" w:lineRule="auto"/>
        <w:ind w:firstLine="720"/>
      </w:pPr>
      <w:r>
        <w:t>Left unmanaged, a diabetic foot ulcer can become infected, leading to cellulitis, osteomyelitis (bone infection), sepsis, and ultimately lower-extremity amputation. Globally, a diabetes-related lower-limb amputation occurs approximately every 30 seconds, and the five-year mortality rate following a major amputation exceeds 50 percent (Hossain et al., 2024). For this elderly patient, whose mobility and overall health were already compromised, the foot ulcer represented a critical pathway toward further functional decline and potentially fatal systemic infection.</w:t>
      </w:r>
    </w:p>
    <w:p w14:paraId="2AE86A07" w14:textId="77777777" w:rsidR="0036298D" w:rsidRDefault="00000000">
      <w:pPr>
        <w:spacing w:line="480" w:lineRule="auto"/>
        <w:jc w:val="center"/>
      </w:pPr>
      <w:r>
        <w:rPr>
          <w:b/>
          <w:bCs/>
        </w:rPr>
        <w:t>Risk 3: Polypharmacy and Medication Non-Adherence</w:t>
      </w:r>
    </w:p>
    <w:p w14:paraId="31385FFE" w14:textId="77777777" w:rsidR="0036298D" w:rsidRDefault="00000000">
      <w:pPr>
        <w:spacing w:line="480" w:lineRule="auto"/>
        <w:ind w:firstLine="720"/>
      </w:pPr>
      <w:r>
        <w:t xml:space="preserve">The third significant risk involves the patient’s complex medication regimen and the likelihood of non-adherence. At the time of admission, the patient was prescribed at least five medications targeting diabetes and hypertension: metformin, glibenclamide, nifedipine, enalapril, and moduretic (Mwitumwa et al., 2025). Polypharmacy—commonly defined as the concurrent use of five or more medications—is especially dangerous in older adults because it increases the probability of drug-drug interactions, adverse side effects, dosing confusion, and therapeutic </w:t>
      </w:r>
      <w:r>
        <w:lastRenderedPageBreak/>
        <w:t>duplication (Rabizadeh et al., 2024). The fact that this patient had been discharged from the same hospital only two days before readmission suggests that his care plan may not have been sustainable outside the clinical environment, whether due to medication complexity, cognitive barriers, limited caregiver support, or inadequate discharge education.</w:t>
      </w:r>
    </w:p>
    <w:p w14:paraId="5AC757C2" w14:textId="77777777" w:rsidR="0036298D" w:rsidRDefault="00000000">
      <w:pPr>
        <w:spacing w:line="480" w:lineRule="auto"/>
        <w:ind w:firstLine="720"/>
      </w:pPr>
      <w:r>
        <w:t>When an elderly patient cannot manage a multi-drug regimen reliably, the consequences extend beyond glycemic control. Missed antihypertensive doses raise blood pressure, increasing the risk of stroke and heart failure. Inconsistent use of oral hypoglycemics can trigger dangerous swings between hyperglycemia and hypoglycemia. In this case, the rapid readmission cycle indicates that the medication management strategy was failing, and without intervention, the cycle would almost certainly have repeated—each time with greater physiological cost to the patient.</w:t>
      </w:r>
    </w:p>
    <w:p w14:paraId="2C7E8811" w14:textId="77777777" w:rsidR="0036298D" w:rsidRDefault="00000000">
      <w:pPr>
        <w:spacing w:line="480" w:lineRule="auto"/>
        <w:jc w:val="center"/>
      </w:pPr>
      <w:r>
        <w:rPr>
          <w:b/>
          <w:bCs/>
        </w:rPr>
        <w:t>Leveraging AI Technology to Manage These Risks</w:t>
      </w:r>
    </w:p>
    <w:p w14:paraId="0D36BECF" w14:textId="77777777" w:rsidR="0036298D" w:rsidRDefault="00000000">
      <w:pPr>
        <w:spacing w:line="480" w:lineRule="auto"/>
        <w:ind w:firstLine="720"/>
      </w:pPr>
      <w:r>
        <w:t>Artificial intelligence offers practical tools that could address each of the three risks identified above. For uncontrolled hyperglycemia and DKA prevention, continuous glucose monitoring (CGM) systems paired with AI-driven predictive algorithms can detect dangerous glucose trends hours before a crisis develops. These systems analyze streaming sensor data alongside patient-specific factors—meal timing, activity level, medication schedule—and send real-time alerts to both the patient and the care team when glucose values drift toward a critical threshold (Alhejaily et al., 2024). In a scenario like this case, such a system might have flagged a rising glucose trajectory days before the DKA episode became life-threatening, prompting a timely clinical response.</w:t>
      </w:r>
    </w:p>
    <w:p w14:paraId="0842BB62" w14:textId="0512E3CF" w:rsidR="0036298D" w:rsidRDefault="00000000">
      <w:pPr>
        <w:spacing w:line="480" w:lineRule="auto"/>
        <w:ind w:firstLine="720"/>
      </w:pPr>
      <w:r>
        <w:t xml:space="preserve">For diabetic foot management, computer vision AI is already being applied to wound assessment. Smartphone-based applications powered by image-recognition algorithms allow </w:t>
      </w:r>
      <w:r>
        <w:lastRenderedPageBreak/>
        <w:t xml:space="preserve">patients or home-health workers to photograph a wound and receive an automated analysis of its size, depth, color, and infection risk. This technology is particularly valuable in low-resource settings where wound-care specialists are </w:t>
      </w:r>
      <w:r w:rsidR="004F64F0">
        <w:t>unavailable because</w:t>
      </w:r>
      <w:r>
        <w:t xml:space="preserve"> it can triage wounds remotely and escalate high-risk cases to regional facilities before tissue loss becomes irreversible (Awasthi et al., 2025). AI-powered thermal imaging of the feet can even detect areas of inflammation before a visible ulcer forms, shifting the intervention from reactive wound care to preventive surveillance.</w:t>
      </w:r>
    </w:p>
    <w:p w14:paraId="031B4A37" w14:textId="77777777" w:rsidR="0036298D" w:rsidRDefault="00000000">
      <w:pPr>
        <w:spacing w:line="480" w:lineRule="auto"/>
        <w:ind w:firstLine="720"/>
      </w:pPr>
      <w:r>
        <w:t>Finally, AI-enabled medication management platforms directly address the polypharmacy and adherence challenge. Smart pill dispensers equipped with sensors can confirm whether each dose was taken, and natural language processing (NLP)-based chatbots can send personalized reminders via text or voice call in the patient’s preferred language. Clinical decision support systems (CDSS) embedded in the prescribing workflow can flag potentially harmful drug combinations or suggest simplified dosing regimens that are more realistic for elderly patients to follow (Eguia et al., 2024). For this patient, whose rapid readmission suggested a breakdown in self-management, an AI-assisted adherence platform could have provided the scaffolding needed to bridge the gap between hospital discharge and sustainable home-based care.</w:t>
      </w:r>
    </w:p>
    <w:p w14:paraId="48FAC884" w14:textId="77777777" w:rsidR="0036298D" w:rsidRDefault="00000000">
      <w:pPr>
        <w:spacing w:line="480" w:lineRule="auto"/>
        <w:jc w:val="center"/>
      </w:pPr>
      <w:r>
        <w:rPr>
          <w:b/>
          <w:bCs/>
        </w:rPr>
        <w:t>Conclusion</w:t>
      </w:r>
    </w:p>
    <w:p w14:paraId="57EB540F" w14:textId="77777777" w:rsidR="0036298D" w:rsidRDefault="00000000">
      <w:pPr>
        <w:spacing w:line="480" w:lineRule="auto"/>
        <w:ind w:firstLine="720"/>
      </w:pPr>
      <w:r>
        <w:t xml:space="preserve">In conclusion, this case demonstrates why systematic risk identification is indispensable in healthcare. The 70-year-old patient described by Mwitumwa et al. (2025) arrived at the hospital in a state of medical crisis that was not the product of a single event but the culmination of multiple compounding risks: poor glycemic control that spiraled into DKA, a diabetic foot ulcer driven by neuropathy and vascular insufficiency, and a polypharmacy regimen that exceeded the patient’s capacity for self-management. Each risk fed into the others—uncontrolled </w:t>
      </w:r>
      <w:r>
        <w:lastRenderedPageBreak/>
        <w:t>blood sugar worsened wound healing, the infected wound demanded additional medications, and the growing pill burden further eroded adherence—creating a vicious cycle that ultimately proved fatal.</w:t>
      </w:r>
    </w:p>
    <w:p w14:paraId="7A04A7B3" w14:textId="68E9A340" w:rsidR="0036298D" w:rsidRDefault="00000000">
      <w:pPr>
        <w:spacing w:line="480" w:lineRule="auto"/>
        <w:ind w:firstLine="720"/>
      </w:pPr>
      <w:r>
        <w:t xml:space="preserve">The broader takeaway is that risk identification is not merely a checkbox exercise; it is the mechanism through which healthcare teams anticipate harm and mobilize resources before a manageable problem becomes an irreversible one. When AI technologies—predictive glucose algorithms, computer vision wound analyzers, intelligent medication-management platforms—are layered onto this process, they extend the clinician’s ability to detect and respond to risks across time, distance, and resource constraints. As AI tools continue to mature and become more accessible, healthcare organizations have both the opportunity and the responsibility to integrate them into routine care, particularly for the growing population of older adults whose chronic-disease complexity demands a more </w:t>
      </w:r>
      <w:r w:rsidR="004F64F0">
        <w:t>initiative-taking</w:t>
      </w:r>
      <w:r>
        <w:t>, data-informed approach to risk management.</w:t>
      </w:r>
    </w:p>
    <w:p w14:paraId="1FA27F95" w14:textId="77777777" w:rsidR="0036298D" w:rsidRDefault="0036298D">
      <w:pPr>
        <w:spacing w:line="480" w:lineRule="auto"/>
      </w:pPr>
    </w:p>
    <w:p w14:paraId="38052CDA" w14:textId="77777777" w:rsidR="0036298D" w:rsidRDefault="00000000">
      <w:pPr>
        <w:spacing w:line="480" w:lineRule="auto"/>
        <w:jc w:val="center"/>
      </w:pPr>
      <w:r>
        <w:rPr>
          <w:b/>
          <w:bCs/>
        </w:rPr>
        <w:t>Conflict of Interest Declaration</w:t>
      </w:r>
    </w:p>
    <w:p w14:paraId="39968A1A" w14:textId="77777777" w:rsidR="0036298D" w:rsidRDefault="00000000">
      <w:pPr>
        <w:spacing w:line="480" w:lineRule="auto"/>
        <w:ind w:firstLine="720"/>
      </w:pPr>
      <w:r>
        <w:t>The author reports no conflicts of interest. This report was prepared as a course assignment for ITAI 4375: AI in Healthcare at Houston Community College. No external funding or commercial interests influenced its content.</w:t>
      </w:r>
    </w:p>
    <w:p w14:paraId="5F3CD84B" w14:textId="77777777" w:rsidR="0036298D" w:rsidRDefault="00000000">
      <w:r>
        <w:br w:type="page"/>
      </w:r>
    </w:p>
    <w:p w14:paraId="3C428EB6" w14:textId="77777777" w:rsidR="0036298D" w:rsidRDefault="00000000">
      <w:pPr>
        <w:spacing w:line="480" w:lineRule="auto"/>
        <w:jc w:val="center"/>
      </w:pPr>
      <w:r>
        <w:rPr>
          <w:b/>
          <w:bCs/>
        </w:rPr>
        <w:lastRenderedPageBreak/>
        <w:t>References</w:t>
      </w:r>
    </w:p>
    <w:p w14:paraId="6069B14F" w14:textId="77777777" w:rsidR="0036298D" w:rsidRDefault="0036298D">
      <w:pPr>
        <w:spacing w:line="480" w:lineRule="auto"/>
      </w:pPr>
    </w:p>
    <w:p w14:paraId="51C411B1" w14:textId="77777777" w:rsidR="0036298D" w:rsidRDefault="00000000">
      <w:pPr>
        <w:spacing w:line="480" w:lineRule="auto"/>
        <w:ind w:left="720" w:hanging="720"/>
      </w:pPr>
      <w:r>
        <w:t>Alhejaily, A., Alhejaily, R., Alsharif, A., &amp; Alqarni, B. (2024). Artificial intelligence in healthcare (Review). Experimental and Therapeutic Medicine, 28(6), 462. https://doi.org/10.3892/etm.2024.12751</w:t>
      </w:r>
    </w:p>
    <w:p w14:paraId="69E7A604" w14:textId="77777777" w:rsidR="0036298D" w:rsidRDefault="00000000">
      <w:pPr>
        <w:spacing w:line="480" w:lineRule="auto"/>
        <w:ind w:left="720" w:hanging="720"/>
      </w:pPr>
      <w:r>
        <w:t>American Diabetes Association Professional Practice Committee. (2024). 13. Older adults: Standards of care in diabetes—2024. Diabetes Care, 47(Supplement 1), S244–S257. https://doi.org/10.2337/dc24-S013</w:t>
      </w:r>
    </w:p>
    <w:p w14:paraId="76D8C4D0" w14:textId="77777777" w:rsidR="0036298D" w:rsidRDefault="00000000">
      <w:pPr>
        <w:spacing w:line="480" w:lineRule="auto"/>
        <w:ind w:left="720" w:hanging="720"/>
      </w:pPr>
      <w:r>
        <w:t>Awasthi, R., Mishra, S., Grasfield, R., Malin, B. A., &amp; Ohno-Machado, L. (2025). Artificial intelligence in healthcare: 2024 year in review. medRxiv. https://doi.org/10.1101/2025.02.26.25322978</w:t>
      </w:r>
    </w:p>
    <w:p w14:paraId="750345D6" w14:textId="77777777" w:rsidR="0036298D" w:rsidRDefault="00000000">
      <w:pPr>
        <w:spacing w:line="480" w:lineRule="auto"/>
        <w:ind w:left="720" w:hanging="720"/>
      </w:pPr>
      <w:r>
        <w:t>Eguia, H., Sánchez-Bocanegra, C. L., Vinciarelli, F., Alvarez-Lopez, F., &amp; Saigí-Rubió, F. (2024). Clinical decision support and natural language processing in medicine: Systematic literature review. Journal of Medical Internet Research, 26, e55315. https://doi.org/10.2196/55315</w:t>
      </w:r>
    </w:p>
    <w:p w14:paraId="199B20B3" w14:textId="77777777" w:rsidR="0036298D" w:rsidRDefault="00000000">
      <w:pPr>
        <w:spacing w:line="480" w:lineRule="auto"/>
        <w:ind w:left="720" w:hanging="720"/>
      </w:pPr>
      <w:r>
        <w:t>Hossain, M. J., Al-Mamun, M., &amp; Islam, M. R. (2024). Diabetes mellitus, the fastest growing global public health concern: Early detection should be focused. Health Science Reports, 7(3), e2004. https://doi.org/10.1002/hsr2.2004</w:t>
      </w:r>
    </w:p>
    <w:p w14:paraId="6F42338A" w14:textId="77777777" w:rsidR="0036298D" w:rsidRDefault="00000000">
      <w:pPr>
        <w:spacing w:line="480" w:lineRule="auto"/>
        <w:ind w:left="720" w:hanging="720"/>
      </w:pPr>
      <w:r>
        <w:t>Mwitumwa, M., Mwanamwalye, P., &amp; Chipeta, M. (2025). Treatment approach for diabetes mellitus type 2 in a 70-year-old male: A case report. Medicine, 104(26), e43210. https://doi.org/10.1097/MD.0000000000043210</w:t>
      </w:r>
    </w:p>
    <w:p w14:paraId="59C01E08" w14:textId="77777777" w:rsidR="0036298D" w:rsidRDefault="00000000">
      <w:pPr>
        <w:spacing w:line="480" w:lineRule="auto"/>
        <w:ind w:left="720" w:hanging="720"/>
      </w:pPr>
      <w:r>
        <w:lastRenderedPageBreak/>
        <w:t>Rabizadeh, S., Yadegar, A., Mohammadi, F., Rajab, A., &amp; Nakhjavani, M. (2024). High prevalence of comorbidities in older adult patients with type 2 diabetes: A cross-sectional survey. BMC Geriatrics, 24, 873. https://doi.org/10.1186/s12877-024-05483-3</w:t>
      </w:r>
    </w:p>
    <w:p w14:paraId="5266AD9B" w14:textId="52C729E6" w:rsidR="0036298D" w:rsidRDefault="0036298D" w:rsidP="004F0D74"/>
    <w:sectPr w:rsidR="0036298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2D53" w14:textId="77777777" w:rsidR="007A0534" w:rsidRDefault="007A0534">
      <w:r>
        <w:separator/>
      </w:r>
    </w:p>
  </w:endnote>
  <w:endnote w:type="continuationSeparator" w:id="0">
    <w:p w14:paraId="0F28FE38" w14:textId="77777777" w:rsidR="007A0534" w:rsidRDefault="007A0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F39D" w14:textId="77777777" w:rsidR="0036298D" w:rsidRDefault="00000000">
    <w:pPr>
      <w:jc w:val="right"/>
    </w:pPr>
    <w:r>
      <w:fldChar w:fldCharType="begin"/>
    </w:r>
    <w:r>
      <w:instrText>PAGE</w:instrText>
    </w:r>
    <w:r>
      <w:fldChar w:fldCharType="separate"/>
    </w:r>
    <w:r w:rsidR="004F64F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F061" w14:textId="77777777" w:rsidR="0036298D" w:rsidRDefault="00000000">
    <w:pPr>
      <w:jc w:val="right"/>
    </w:pPr>
    <w:r>
      <w:fldChar w:fldCharType="begin"/>
    </w:r>
    <w:r>
      <w:instrText>PAGE</w:instrText>
    </w:r>
    <w:r>
      <w:fldChar w:fldCharType="separate"/>
    </w:r>
    <w:r w:rsidR="004F64F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BB7F0" w14:textId="77777777" w:rsidR="007A0534" w:rsidRDefault="007A0534">
      <w:r>
        <w:separator/>
      </w:r>
    </w:p>
  </w:footnote>
  <w:footnote w:type="continuationSeparator" w:id="0">
    <w:p w14:paraId="3E9E118D" w14:textId="77777777" w:rsidR="007A0534" w:rsidRDefault="007A0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91E4" w14:textId="77777777" w:rsidR="0036298D" w:rsidRDefault="00000000">
    <w:r>
      <w:rPr>
        <w:sz w:val="20"/>
        <w:szCs w:val="20"/>
      </w:rPr>
      <w:t>Running head: IDENTIFYING RISKS IN A MEDICAL CASE STUDY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DB4C" w14:textId="77777777" w:rsidR="0036298D" w:rsidRDefault="00000000">
    <w:r>
      <w:rPr>
        <w:sz w:val="20"/>
        <w:szCs w:val="20"/>
      </w:rPr>
      <w:t>IDENTIFYING RISKS IN A MEDICAL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A6CE3"/>
    <w:multiLevelType w:val="hybridMultilevel"/>
    <w:tmpl w:val="801AC5D6"/>
    <w:lvl w:ilvl="0" w:tplc="1D66424E">
      <w:start w:val="1"/>
      <w:numFmt w:val="bullet"/>
      <w:lvlText w:val="●"/>
      <w:lvlJc w:val="left"/>
      <w:pPr>
        <w:ind w:left="720" w:hanging="360"/>
      </w:pPr>
    </w:lvl>
    <w:lvl w:ilvl="1" w:tplc="1F68511A">
      <w:start w:val="1"/>
      <w:numFmt w:val="bullet"/>
      <w:lvlText w:val="○"/>
      <w:lvlJc w:val="left"/>
      <w:pPr>
        <w:ind w:left="1440" w:hanging="360"/>
      </w:pPr>
    </w:lvl>
    <w:lvl w:ilvl="2" w:tplc="AD0E887A">
      <w:start w:val="1"/>
      <w:numFmt w:val="bullet"/>
      <w:lvlText w:val="■"/>
      <w:lvlJc w:val="left"/>
      <w:pPr>
        <w:ind w:left="2160" w:hanging="360"/>
      </w:pPr>
    </w:lvl>
    <w:lvl w:ilvl="3" w:tplc="5928CDDE">
      <w:start w:val="1"/>
      <w:numFmt w:val="bullet"/>
      <w:lvlText w:val="●"/>
      <w:lvlJc w:val="left"/>
      <w:pPr>
        <w:ind w:left="2880" w:hanging="360"/>
      </w:pPr>
    </w:lvl>
    <w:lvl w:ilvl="4" w:tplc="65B8B01A">
      <w:start w:val="1"/>
      <w:numFmt w:val="bullet"/>
      <w:lvlText w:val="○"/>
      <w:lvlJc w:val="left"/>
      <w:pPr>
        <w:ind w:left="3600" w:hanging="360"/>
      </w:pPr>
    </w:lvl>
    <w:lvl w:ilvl="5" w:tplc="413C21E0">
      <w:start w:val="1"/>
      <w:numFmt w:val="bullet"/>
      <w:lvlText w:val="■"/>
      <w:lvlJc w:val="left"/>
      <w:pPr>
        <w:ind w:left="4320" w:hanging="360"/>
      </w:pPr>
    </w:lvl>
    <w:lvl w:ilvl="6" w:tplc="F48668CC">
      <w:start w:val="1"/>
      <w:numFmt w:val="bullet"/>
      <w:lvlText w:val="●"/>
      <w:lvlJc w:val="left"/>
      <w:pPr>
        <w:ind w:left="5040" w:hanging="360"/>
      </w:pPr>
    </w:lvl>
    <w:lvl w:ilvl="7" w:tplc="BFE8DF6E">
      <w:start w:val="1"/>
      <w:numFmt w:val="bullet"/>
      <w:lvlText w:val="●"/>
      <w:lvlJc w:val="left"/>
      <w:pPr>
        <w:ind w:left="5760" w:hanging="360"/>
      </w:pPr>
    </w:lvl>
    <w:lvl w:ilvl="8" w:tplc="3A3C71EE">
      <w:start w:val="1"/>
      <w:numFmt w:val="bullet"/>
      <w:lvlText w:val="●"/>
      <w:lvlJc w:val="left"/>
      <w:pPr>
        <w:ind w:left="6480" w:hanging="360"/>
      </w:pPr>
    </w:lvl>
  </w:abstractNum>
  <w:num w:numId="1" w16cid:durableId="1207453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98D"/>
    <w:rsid w:val="0036298D"/>
    <w:rsid w:val="004F0D74"/>
    <w:rsid w:val="004F64F0"/>
    <w:rsid w:val="00575C49"/>
    <w:rsid w:val="007A0534"/>
    <w:rsid w:val="00B27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1021"/>
  <w15:docId w15:val="{FEE91087-6B15-4A16-B52A-3B8972CEF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877</TotalTime>
  <Pages>11</Pages>
  <Words>2356</Words>
  <Characters>13434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3</cp:revision>
  <dcterms:created xsi:type="dcterms:W3CDTF">2026-03-17T06:03:00Z</dcterms:created>
  <dcterms:modified xsi:type="dcterms:W3CDTF">2026-03-17T20:54:00Z</dcterms:modified>
</cp:coreProperties>
</file>