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8E5BC" w14:textId="77777777" w:rsidR="00705963" w:rsidRDefault="00705963">
      <w:pPr>
        <w:spacing w:line="480" w:lineRule="auto"/>
        <w:jc w:val="center"/>
        <w:rPr>
          <w:rFonts w:ascii="Times New Roman" w:eastAsia="Times New Roman" w:hAnsi="Times New Roman"/>
          <w:b/>
          <w:sz w:val="24"/>
        </w:rPr>
      </w:pPr>
    </w:p>
    <w:p w14:paraId="2FC4818F" w14:textId="77777777" w:rsidR="00705963" w:rsidRDefault="00705963">
      <w:pPr>
        <w:spacing w:line="480" w:lineRule="auto"/>
        <w:jc w:val="center"/>
        <w:rPr>
          <w:rFonts w:ascii="Times New Roman" w:eastAsia="Times New Roman" w:hAnsi="Times New Roman"/>
          <w:b/>
          <w:sz w:val="24"/>
        </w:rPr>
      </w:pPr>
    </w:p>
    <w:p w14:paraId="5FAC76B1" w14:textId="77777777" w:rsidR="00705963" w:rsidRDefault="00705963">
      <w:pPr>
        <w:spacing w:line="480" w:lineRule="auto"/>
        <w:jc w:val="center"/>
        <w:rPr>
          <w:rFonts w:ascii="Times New Roman" w:eastAsia="Times New Roman" w:hAnsi="Times New Roman"/>
          <w:b/>
          <w:sz w:val="24"/>
        </w:rPr>
      </w:pPr>
    </w:p>
    <w:p w14:paraId="4FEC914C" w14:textId="77777777" w:rsidR="00705963" w:rsidRDefault="00705963">
      <w:pPr>
        <w:spacing w:line="480" w:lineRule="auto"/>
        <w:jc w:val="center"/>
        <w:rPr>
          <w:rFonts w:ascii="Times New Roman" w:eastAsia="Times New Roman" w:hAnsi="Times New Roman"/>
          <w:b/>
          <w:sz w:val="24"/>
        </w:rPr>
      </w:pPr>
    </w:p>
    <w:p w14:paraId="222F962D" w14:textId="77777777" w:rsidR="00705963" w:rsidRDefault="00705963">
      <w:pPr>
        <w:spacing w:line="480" w:lineRule="auto"/>
        <w:jc w:val="center"/>
        <w:rPr>
          <w:rFonts w:ascii="Times New Roman" w:eastAsia="Times New Roman" w:hAnsi="Times New Roman"/>
          <w:b/>
          <w:sz w:val="24"/>
        </w:rPr>
      </w:pPr>
    </w:p>
    <w:p w14:paraId="7E414690" w14:textId="418EE68D" w:rsidR="00D11666" w:rsidRDefault="00000000">
      <w:pPr>
        <w:spacing w:line="480" w:lineRule="auto"/>
        <w:jc w:val="center"/>
      </w:pPr>
      <w:r>
        <w:rPr>
          <w:rFonts w:ascii="Times New Roman" w:eastAsia="Times New Roman" w:hAnsi="Times New Roman"/>
          <w:b/>
          <w:sz w:val="24"/>
        </w:rPr>
        <w:t>Genetic Testing as Non-Traditional Health Data</w:t>
      </w:r>
    </w:p>
    <w:p w14:paraId="293CF15C" w14:textId="77777777" w:rsidR="00D11666" w:rsidRDefault="00000000">
      <w:pPr>
        <w:spacing w:line="480" w:lineRule="auto"/>
        <w:jc w:val="center"/>
      </w:pPr>
      <w:r>
        <w:rPr>
          <w:rFonts w:ascii="Times New Roman" w:eastAsia="Times New Roman" w:hAnsi="Times New Roman"/>
          <w:sz w:val="24"/>
        </w:rPr>
        <w:t>Duc Nguyen</w:t>
      </w:r>
    </w:p>
    <w:p w14:paraId="22041165" w14:textId="77777777" w:rsidR="00D11666" w:rsidRDefault="00000000">
      <w:pPr>
        <w:spacing w:line="480" w:lineRule="auto"/>
        <w:jc w:val="center"/>
      </w:pPr>
      <w:r>
        <w:rPr>
          <w:rFonts w:ascii="Times New Roman" w:eastAsia="Times New Roman" w:hAnsi="Times New Roman"/>
          <w:sz w:val="24"/>
        </w:rPr>
        <w:t>ITAI 4375 – AI in Healthcare</w:t>
      </w:r>
    </w:p>
    <w:p w14:paraId="111C014C" w14:textId="77777777" w:rsidR="00D11666" w:rsidRDefault="00000000">
      <w:pPr>
        <w:spacing w:line="480" w:lineRule="auto"/>
        <w:jc w:val="center"/>
      </w:pPr>
      <w:r>
        <w:rPr>
          <w:rFonts w:ascii="Times New Roman" w:eastAsia="Times New Roman" w:hAnsi="Times New Roman"/>
          <w:sz w:val="24"/>
        </w:rPr>
        <w:t>Dr. Doreen Rosenstrauch</w:t>
      </w:r>
    </w:p>
    <w:p w14:paraId="7A6A7D86" w14:textId="77777777" w:rsidR="00D11666" w:rsidRDefault="00000000">
      <w:pPr>
        <w:spacing w:line="480" w:lineRule="auto"/>
        <w:jc w:val="center"/>
      </w:pPr>
      <w:r>
        <w:rPr>
          <w:rFonts w:ascii="Times New Roman" w:eastAsia="Times New Roman" w:hAnsi="Times New Roman"/>
          <w:sz w:val="24"/>
        </w:rPr>
        <w:t>March 2, 2026</w:t>
      </w:r>
    </w:p>
    <w:p w14:paraId="625E715E" w14:textId="77777777" w:rsidR="00D11666" w:rsidRDefault="00000000">
      <w:r>
        <w:br w:type="page"/>
      </w:r>
    </w:p>
    <w:p w14:paraId="5C300E5F" w14:textId="77777777" w:rsidR="00D11666" w:rsidRPr="00705963" w:rsidRDefault="00000000">
      <w:pPr>
        <w:jc w:val="center"/>
        <w:rPr>
          <w:b/>
          <w:bCs/>
        </w:rPr>
      </w:pPr>
      <w:r w:rsidRPr="00705963">
        <w:rPr>
          <w:rFonts w:ascii="Times New Roman" w:eastAsia="Times New Roman" w:hAnsi="Times New Roman"/>
          <w:b/>
          <w:bCs/>
          <w:sz w:val="24"/>
        </w:rPr>
        <w:lastRenderedPageBreak/>
        <w:t>Abstract</w:t>
      </w:r>
    </w:p>
    <w:p w14:paraId="3AA42994" w14:textId="3A6A5D4E" w:rsidR="00D11666" w:rsidRDefault="00000000">
      <w:pPr>
        <w:spacing w:line="480" w:lineRule="auto"/>
      </w:pPr>
      <w:r>
        <w:rPr>
          <w:rFonts w:ascii="Times New Roman" w:eastAsia="Times New Roman" w:hAnsi="Times New Roman"/>
          <w:sz w:val="24"/>
        </w:rPr>
        <w:t xml:space="preserve">Genetic testing represents a rapidly expanding form of non-traditional health data that enables early identification of inherited and complex disease risk. This paper examines how genetic testing, including single-gene mutation analysis and polygenic risk scoring, contributes to preventive care and precision medicine. Evidence from recent large-scale genomic studies demonstrates that polygenic risk scores can significantly enhance cardiovascular disease prediction when integrated with traditional clinical risk factors. However, challenges remain regarding calibration across diverse populations, data privacy, and equitable implementation. The paper evaluates both clinical benefits and ethical considerations while emphasizing the importance of strong governance frameworks in future health data management. </w:t>
      </w:r>
      <w:r w:rsidR="00705963">
        <w:rPr>
          <w:rFonts w:ascii="Times New Roman" w:eastAsia="Times New Roman" w:hAnsi="Times New Roman"/>
          <w:sz w:val="24"/>
        </w:rPr>
        <w:t>Genetic</w:t>
      </w:r>
      <w:r>
        <w:rPr>
          <w:rFonts w:ascii="Times New Roman" w:eastAsia="Times New Roman" w:hAnsi="Times New Roman"/>
          <w:sz w:val="24"/>
        </w:rPr>
        <w:t xml:space="preserve"> testing has transformative potential but requires responsible oversight to ensure equitable population health outcomes.</w:t>
      </w:r>
    </w:p>
    <w:p w14:paraId="46DBEF27" w14:textId="77777777" w:rsidR="00D11666" w:rsidRDefault="00000000">
      <w:r>
        <w:br w:type="page"/>
      </w:r>
    </w:p>
    <w:p w14:paraId="7E728394" w14:textId="77777777" w:rsidR="00D11666" w:rsidRDefault="00000000">
      <w:pPr>
        <w:spacing w:line="480" w:lineRule="auto"/>
      </w:pPr>
      <w:r>
        <w:rPr>
          <w:rFonts w:ascii="Times New Roman" w:eastAsia="Times New Roman" w:hAnsi="Times New Roman"/>
          <w:sz w:val="24"/>
        </w:rPr>
        <w:lastRenderedPageBreak/>
        <w:t>Genetic testing is a rapidly evolving form of non-traditional health data that examines an individual’s DNA to identify inherited traits and disease susceptibility. Unlike traditional clinical data such as laboratory results or imaging findings, genetic information provides predictive insight before symptoms develop. This paper argues that genetic testing significantly enhances preventive and precision medicine, but its clinical value depends on rigorous validation, equitable implementation, and strong data governance.</w:t>
      </w:r>
    </w:p>
    <w:p w14:paraId="0A2ED1DC" w14:textId="77777777" w:rsidR="00D11666" w:rsidRDefault="00000000">
      <w:pPr>
        <w:spacing w:line="480" w:lineRule="auto"/>
      </w:pPr>
      <w:r>
        <w:rPr>
          <w:rFonts w:ascii="Times New Roman" w:eastAsia="Times New Roman" w:hAnsi="Times New Roman"/>
          <w:sz w:val="24"/>
        </w:rPr>
        <w:t>Genetic testing includes both single-gene mutation analysis and polygenic risk scoring. Single-gene tests can identify pathogenic variants such as BRCA1 or BRCA2 mutations associated with hereditary cancers. Polygenic risk scores aggregate thousands of small genetic variants to estimate risk for complex diseases such as coronary artery disease and type 2 diabetes. According to the Centers for Disease Control and Prevention (CDC, 2023), genetic testing detects changes in genes or chromosomes that may confirm disease presence or estimate future risk.</w:t>
      </w:r>
    </w:p>
    <w:p w14:paraId="41359999" w14:textId="5B3BDE55" w:rsidR="00D11666" w:rsidRDefault="00000000">
      <w:pPr>
        <w:spacing w:line="480" w:lineRule="auto"/>
      </w:pPr>
      <w:r>
        <w:rPr>
          <w:rFonts w:ascii="Times New Roman" w:eastAsia="Times New Roman" w:hAnsi="Times New Roman"/>
          <w:sz w:val="24"/>
        </w:rPr>
        <w:t xml:space="preserve">Large-scale genomic studies provide measurable evidence of clinical utility. In a study of nearly 500,000 adults, polygenic risk scoring significantly improved cardiovascular disease risk prediction beyond traditional markers (Inouye et al., 2022). Additional research published in The New England Journal of Medicine demonstrated that individuals in the highest polygenic risk category experienced </w:t>
      </w:r>
      <w:r w:rsidR="00705963">
        <w:rPr>
          <w:rFonts w:ascii="Times New Roman" w:eastAsia="Times New Roman" w:hAnsi="Times New Roman"/>
          <w:sz w:val="24"/>
        </w:rPr>
        <w:t>elevated</w:t>
      </w:r>
      <w:r>
        <w:rPr>
          <w:rFonts w:ascii="Times New Roman" w:eastAsia="Times New Roman" w:hAnsi="Times New Roman"/>
          <w:sz w:val="24"/>
        </w:rPr>
        <w:t xml:space="preserve"> cardiometabolic disease incidence compared to baseline populations (Khera et al., 2023). These findings support earlier intervention strategies including statin therapy and intensified lifestyle modification.</w:t>
      </w:r>
    </w:p>
    <w:p w14:paraId="405250A8" w14:textId="77777777" w:rsidR="00D11666" w:rsidRDefault="00000000">
      <w:pPr>
        <w:spacing w:line="480" w:lineRule="auto"/>
      </w:pPr>
      <w:r>
        <w:rPr>
          <w:rFonts w:ascii="Times New Roman" w:eastAsia="Times New Roman" w:hAnsi="Times New Roman"/>
          <w:sz w:val="24"/>
        </w:rPr>
        <w:t xml:space="preserve">Despite strong discrimination performance, calibration remains a critical concern. While many models effectively differentiate high- and low-risk individuals, predicted probabilities may not </w:t>
      </w:r>
      <w:r>
        <w:rPr>
          <w:rFonts w:ascii="Times New Roman" w:eastAsia="Times New Roman" w:hAnsi="Times New Roman"/>
          <w:sz w:val="24"/>
        </w:rPr>
        <w:lastRenderedPageBreak/>
        <w:t>align equally across ancestral populations (Martin et al., 2022). Poor calibration may result in overestimation or underestimation of risk, which can influence clinical decision-making. Moreover, limited representation of diverse populations in genomic datasets may exacerbate health disparities. Continuous validation and inclusive data collection are therefore essential.</w:t>
      </w:r>
    </w:p>
    <w:p w14:paraId="30ED2136" w14:textId="77777777" w:rsidR="00D11666" w:rsidRDefault="00000000">
      <w:pPr>
        <w:spacing w:line="480" w:lineRule="auto"/>
      </w:pPr>
      <w:r>
        <w:rPr>
          <w:rFonts w:ascii="Times New Roman" w:eastAsia="Times New Roman" w:hAnsi="Times New Roman"/>
          <w:sz w:val="24"/>
        </w:rPr>
        <w:t>Ethical considerations further complicate integration into healthcare systems. Genetic information is permanent and shared among biological relatives, raising privacy and consent concerns. Data security breaches could have long-term consequences. Additionally, improper interpretation of probabilistic risk may increase patient anxiety or prompt unnecessary interventions. Evidence-based implementation strategies and transparent regulatory frameworks are necessary to mitigate these risks (Torkamani et al., 2021; Lewis &amp; Green, 2021).</w:t>
      </w:r>
    </w:p>
    <w:p w14:paraId="141FE8D7" w14:textId="77777777" w:rsidR="00D11666" w:rsidRDefault="00000000">
      <w:pPr>
        <w:spacing w:line="480" w:lineRule="auto"/>
      </w:pPr>
      <w:r>
        <w:rPr>
          <w:rFonts w:ascii="Times New Roman" w:eastAsia="Times New Roman" w:hAnsi="Times New Roman"/>
          <w:sz w:val="24"/>
        </w:rPr>
        <w:t>In conclusion, genetic testing represents a transformative expansion of health data beyond traditional medical records. Evidence demonstrates measurable improvements in disease risk stratification and preventive planning. However, predictive performance must be balanced with ethical governance, calibration accuracy, and equitable representation. Responsible integration of genetic testing into AI-supported healthcare systems will determine whether genomic medicine advances population health equitably rather than reinforcing disparities.</w:t>
      </w:r>
    </w:p>
    <w:p w14:paraId="273439E1" w14:textId="77777777" w:rsidR="00D11666" w:rsidRDefault="00000000">
      <w:r>
        <w:br w:type="page"/>
      </w:r>
    </w:p>
    <w:p w14:paraId="199D21F1" w14:textId="77777777" w:rsidR="00D11666" w:rsidRDefault="00000000">
      <w:pPr>
        <w:jc w:val="center"/>
      </w:pPr>
      <w:r>
        <w:rPr>
          <w:rFonts w:ascii="Times New Roman" w:eastAsia="Times New Roman" w:hAnsi="Times New Roman"/>
          <w:b/>
          <w:sz w:val="24"/>
        </w:rPr>
        <w:lastRenderedPageBreak/>
        <w:t>References</w:t>
      </w:r>
    </w:p>
    <w:p w14:paraId="3C2BCCAE" w14:textId="77777777" w:rsidR="00D11666" w:rsidRDefault="00000000">
      <w:pPr>
        <w:spacing w:line="480" w:lineRule="auto"/>
        <w:ind w:left="720" w:hanging="720"/>
      </w:pPr>
      <w:r>
        <w:rPr>
          <w:rFonts w:ascii="Times New Roman" w:eastAsia="Times New Roman" w:hAnsi="Times New Roman"/>
          <w:sz w:val="24"/>
        </w:rPr>
        <w:t>Centers for Disease Control and Prevention. (2023). Genetic testing. https://www.cdc.gov/genomics/testing/index.htm</w:t>
      </w:r>
    </w:p>
    <w:p w14:paraId="7757F68A" w14:textId="77777777" w:rsidR="00D11666" w:rsidRDefault="00000000">
      <w:pPr>
        <w:spacing w:line="480" w:lineRule="auto"/>
        <w:ind w:left="720" w:hanging="720"/>
      </w:pPr>
      <w:r>
        <w:rPr>
          <w:rFonts w:ascii="Times New Roman" w:eastAsia="Times New Roman" w:hAnsi="Times New Roman"/>
          <w:sz w:val="24"/>
        </w:rPr>
        <w:t>Inouye, M., Abraham, G., Nelson, C. P., Wood, A. M., Sweeting, M. J., Dudbridge, F., &amp; Holmes, M. V. (2022). Genomic risk prediction of coronary artery disease in nearly 500,000 adults. Journal of the American College of Cardiology, 79(15), 1483–1494.</w:t>
      </w:r>
    </w:p>
    <w:p w14:paraId="049A0958" w14:textId="77777777" w:rsidR="00D11666" w:rsidRDefault="00000000">
      <w:pPr>
        <w:spacing w:line="480" w:lineRule="auto"/>
        <w:ind w:left="720" w:hanging="720"/>
      </w:pPr>
      <w:r>
        <w:rPr>
          <w:rFonts w:ascii="Times New Roman" w:eastAsia="Times New Roman" w:hAnsi="Times New Roman"/>
          <w:sz w:val="24"/>
        </w:rPr>
        <w:t>Khera, A. V., Chaffin, M., Aragam, K. G., et al. (2023). Polygenic prediction of cardiometabolic disease and integration into clinical risk assessment. The New England Journal of Medicine, 389(5), 450–462.</w:t>
      </w:r>
    </w:p>
    <w:p w14:paraId="2465162A" w14:textId="77777777" w:rsidR="00D11666" w:rsidRDefault="00000000">
      <w:pPr>
        <w:spacing w:line="480" w:lineRule="auto"/>
        <w:ind w:left="720" w:hanging="720"/>
      </w:pPr>
      <w:r>
        <w:rPr>
          <w:rFonts w:ascii="Times New Roman" w:eastAsia="Times New Roman" w:hAnsi="Times New Roman"/>
          <w:sz w:val="24"/>
        </w:rPr>
        <w:t>Lewis, A. C. F., &amp; Green, R. C. (2021). Polygenic risk scores in the clinic: Ethical and implementation challenges. Nature Reviews Genetics, 22(9), 577–590.</w:t>
      </w:r>
    </w:p>
    <w:p w14:paraId="55100EA4" w14:textId="77777777" w:rsidR="00D11666" w:rsidRDefault="00000000">
      <w:pPr>
        <w:spacing w:line="480" w:lineRule="auto"/>
        <w:ind w:left="720" w:hanging="720"/>
      </w:pPr>
      <w:r>
        <w:rPr>
          <w:rFonts w:ascii="Times New Roman" w:eastAsia="Times New Roman" w:hAnsi="Times New Roman"/>
          <w:sz w:val="24"/>
        </w:rPr>
        <w:t>Martin, A. R., Kanai, M., Kamatani, Y., Okada, Y., Neale, B. M., &amp; Daly, M. J. (2022). Clinical use of current polygenic risk scores may exacerbate health disparities. Nature Medicine, 28(9), 1733–1742.</w:t>
      </w:r>
    </w:p>
    <w:p w14:paraId="640E8B0F" w14:textId="77777777" w:rsidR="00D11666" w:rsidRDefault="00000000">
      <w:pPr>
        <w:spacing w:line="480" w:lineRule="auto"/>
        <w:ind w:left="720" w:hanging="720"/>
      </w:pPr>
      <w:r>
        <w:rPr>
          <w:rFonts w:ascii="Times New Roman" w:eastAsia="Times New Roman" w:hAnsi="Times New Roman"/>
          <w:sz w:val="24"/>
        </w:rPr>
        <w:t>Torkamani, A., Andersen, K. G., Steinhubl, S. R., &amp; Topol, E. J. (2021). High-definition medicine. Cell, 184(5), 1158–1174.</w:t>
      </w:r>
    </w:p>
    <w:p w14:paraId="1CF9A45B" w14:textId="77777777" w:rsidR="00D11666" w:rsidRDefault="00000000">
      <w:r>
        <w:br w:type="page"/>
      </w:r>
    </w:p>
    <w:p w14:paraId="3022EBBC" w14:textId="77777777" w:rsidR="00D11666" w:rsidRDefault="00000000">
      <w:pPr>
        <w:jc w:val="center"/>
      </w:pPr>
      <w:r>
        <w:rPr>
          <w:rFonts w:ascii="Times New Roman" w:eastAsia="Times New Roman" w:hAnsi="Times New Roman"/>
          <w:b/>
          <w:sz w:val="24"/>
        </w:rPr>
        <w:lastRenderedPageBreak/>
        <w:t>Conflict of Interest</w:t>
      </w:r>
    </w:p>
    <w:p w14:paraId="46BA595F" w14:textId="77777777" w:rsidR="00D11666" w:rsidRDefault="00000000">
      <w:pPr>
        <w:spacing w:line="480" w:lineRule="auto"/>
      </w:pPr>
      <w:r>
        <w:rPr>
          <w:rFonts w:ascii="Times New Roman" w:eastAsia="Times New Roman" w:hAnsi="Times New Roman"/>
          <w:sz w:val="24"/>
        </w:rPr>
        <w:t>The author declares no conflict of interest.</w:t>
      </w:r>
    </w:p>
    <w:sectPr w:rsidR="00D11666"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B7C1A" w14:textId="77777777" w:rsidR="00BB434D" w:rsidRDefault="00BB434D">
      <w:pPr>
        <w:spacing w:after="0" w:line="240" w:lineRule="auto"/>
      </w:pPr>
      <w:r>
        <w:separator/>
      </w:r>
    </w:p>
  </w:endnote>
  <w:endnote w:type="continuationSeparator" w:id="0">
    <w:p w14:paraId="64C66313" w14:textId="77777777" w:rsidR="00BB434D" w:rsidRDefault="00BB4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B4802" w14:textId="77777777" w:rsidR="00BB434D" w:rsidRDefault="00BB434D">
      <w:pPr>
        <w:spacing w:after="0" w:line="240" w:lineRule="auto"/>
      </w:pPr>
      <w:r>
        <w:separator/>
      </w:r>
    </w:p>
  </w:footnote>
  <w:footnote w:type="continuationSeparator" w:id="0">
    <w:p w14:paraId="0A6869FF" w14:textId="77777777" w:rsidR="00BB434D" w:rsidRDefault="00BB43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7996" w14:textId="77777777" w:rsidR="00D11666" w:rsidRDefault="00000000">
    <w:pPr>
      <w:pStyle w:val="Header"/>
    </w:pPr>
    <w:r>
      <w:t>GENETIC TESTING AS NON-TRADITIONAL HEALTH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645562">
    <w:abstractNumId w:val="8"/>
  </w:num>
  <w:num w:numId="2" w16cid:durableId="589050838">
    <w:abstractNumId w:val="6"/>
  </w:num>
  <w:num w:numId="3" w16cid:durableId="1669206906">
    <w:abstractNumId w:val="5"/>
  </w:num>
  <w:num w:numId="4" w16cid:durableId="1862860945">
    <w:abstractNumId w:val="4"/>
  </w:num>
  <w:num w:numId="5" w16cid:durableId="928196650">
    <w:abstractNumId w:val="7"/>
  </w:num>
  <w:num w:numId="6" w16cid:durableId="318386326">
    <w:abstractNumId w:val="3"/>
  </w:num>
  <w:num w:numId="7" w16cid:durableId="2137991351">
    <w:abstractNumId w:val="2"/>
  </w:num>
  <w:num w:numId="8" w16cid:durableId="1551990373">
    <w:abstractNumId w:val="1"/>
  </w:num>
  <w:num w:numId="9" w16cid:durableId="12720056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5963"/>
    <w:rsid w:val="007F78E3"/>
    <w:rsid w:val="00AA1D8D"/>
    <w:rsid w:val="00B47730"/>
    <w:rsid w:val="00BB434D"/>
    <w:rsid w:val="00CB0664"/>
    <w:rsid w:val="00D116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398B6"/>
  <w14:defaultImageDpi w14:val="300"/>
  <w15:docId w15:val="{1E1A24C9-A009-441D-8A69-72C50BD6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Nguyen</cp:lastModifiedBy>
  <cp:revision>3</cp:revision>
  <dcterms:created xsi:type="dcterms:W3CDTF">2013-12-23T23:15:00Z</dcterms:created>
  <dcterms:modified xsi:type="dcterms:W3CDTF">2026-03-02T21:42:00Z</dcterms:modified>
  <cp:category/>
</cp:coreProperties>
</file>